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60"/>
      </w:pPr>
      <w:r>
        <w:drawing>
          <wp:inline xmlns:a="http://schemas.openxmlformats.org/drawingml/2006/main" xmlns:pic="http://schemas.openxmlformats.org/drawingml/2006/picture">
            <wp:extent cx="1691640" cy="517900"/>
            <wp:docPr id="1" name="Picture 1" descr="DPR Landscapes logo"/>
            <wp:cNvGraphicFramePr>
              <a:graphicFrameLocks noChangeAspect="1"/>
            </wp:cNvGraphicFramePr>
            <a:graphic>
              <a:graphicData uri="http://schemas.openxmlformats.org/drawingml/2006/picture">
                <pic:pic>
                  <pic:nvPicPr>
                    <pic:cNvPr id="0" name="dpr-logo.png"/>
                    <pic:cNvPicPr/>
                  </pic:nvPicPr>
                  <pic:blipFill>
                    <a:blip r:embed="rId12"/>
                    <a:stretch>
                      <a:fillRect/>
                    </a:stretch>
                  </pic:blipFill>
                  <pic:spPr>
                    <a:xfrm>
                      <a:off x="0" y="0"/>
                      <a:ext cx="1691640" cy="517900"/>
                    </a:xfrm>
                    <a:prstGeom prst="rect"/>
                  </pic:spPr>
                </pic:pic>
              </a:graphicData>
            </a:graphic>
          </wp:inline>
        </w:drawing>
      </w:r>
    </w:p>
    <w:p>
      <w:pPr>
        <w:keepNext/>
        <w:spacing w:after="160" w:before="0"/>
      </w:pPr>
      <w:r>
        <w:rPr>
          <w:rFonts w:ascii="DM Sans" w:hAnsi="DM Sans" w:eastAsia="DM Sans" w:cs="DM Sans"/>
          <w:b/>
          <w:color w:val="F04425"/>
          <w:sz w:val="19"/>
        </w:rPr>
        <w:t>YOUR WINTER SERVICE PROPOSAL</w:t>
      </w:r>
    </w:p>
    <w:p>
      <w:pPr>
        <w:pStyle w:val="Title"/>
      </w:pPr>
      <w:r>
        <w:t>Winter service proposal</w:t>
      </w:r>
    </w:p>
    <w:p>
      <w:pPr>
        <w:pStyle w:val="Subtitle"/>
      </w:pPr>
      <w:r>
        <w:t>10 Meadowglen Drive</w:t>
      </w:r>
    </w:p>
    <w:p>
      <w:pPr>
        <w:keepNext w:val="0"/>
        <w:spacing w:after="240" w:before="0"/>
      </w:pPr>
      <w:r>
        <w:rPr>
          <w:rFonts w:ascii="DM Sans" w:hAnsi="DM Sans" w:eastAsia="DM Sans" w:cs="DM Sans"/>
          <w:b w:val="0"/>
          <w:color w:val="606661"/>
          <w:sz w:val="23"/>
        </w:rPr>
        <w:t>Whitby, Ontario</w:t>
      </w:r>
    </w:p>
    <w:p>
      <w:pPr>
        <w:spacing w:after="80"/>
      </w:pPr>
      <w:r>
        <w:drawing>
          <wp:inline xmlns:a="http://schemas.openxmlformats.org/drawingml/2006/main" xmlns:pic="http://schemas.openxmlformats.org/drawingml/2006/picture">
            <wp:extent cx="6492240" cy="2342659"/>
            <wp:docPr id="2" name="Picture 2" descr="Actual frontage of the commercial plaza at 10 Meadowglen Drive"/>
            <wp:cNvGraphicFramePr>
              <a:graphicFrameLocks noChangeAspect="1"/>
            </wp:cNvGraphicFramePr>
            <a:graphic>
              <a:graphicData uri="http://schemas.openxmlformats.org/drawingml/2006/picture">
                <pic:pic>
                  <pic:nvPicPr>
                    <pic:cNvPr id="0" name="Property_Frontage.png"/>
                    <pic:cNvPicPr/>
                  </pic:nvPicPr>
                  <pic:blipFill>
                    <a:blip r:embed="rId13"/>
                    <a:stretch>
                      <a:fillRect/>
                    </a:stretch>
                  </pic:blipFill>
                  <pic:spPr>
                    <a:xfrm>
                      <a:off x="0" y="0"/>
                      <a:ext cx="6492240" cy="2342659"/>
                    </a:xfrm>
                    <a:prstGeom prst="rect"/>
                  </pic:spPr>
                </pic:pic>
              </a:graphicData>
            </a:graphic>
          </wp:inline>
        </w:drawing>
      </w:r>
    </w:p>
    <w:p>
      <w:pPr>
        <w:keepNext w:val="0"/>
        <w:spacing w:after="60" w:before="0"/>
      </w:pPr>
      <w:r>
        <w:rPr>
          <w:rFonts w:ascii="DM Sans" w:hAnsi="DM Sans" w:eastAsia="DM Sans" w:cs="DM Sans"/>
          <w:b/>
          <w:color w:val="000000"/>
          <w:sz w:val="22"/>
        </w:rPr>
        <w:t>Prepared for Karma Investments</w:t>
      </w:r>
    </w:p>
    <w:p>
      <w:pPr>
        <w:keepNext w:val="0"/>
        <w:spacing w:after="240" w:before="0"/>
      </w:pPr>
      <w:r>
        <w:rPr>
          <w:rFonts w:ascii="DM Sans" w:hAnsi="DM Sans" w:eastAsia="DM Sans" w:cs="DM Sans"/>
          <w:b w:val="0"/>
          <w:color w:val="606661"/>
          <w:sz w:val="22"/>
        </w:rPr>
        <w:t>Attention B Brar</w:t>
      </w:r>
    </w:p>
    <w:p>
      <w:pPr>
        <w:keepNext w:val="0"/>
        <w:spacing w:after="260" w:before="0"/>
      </w:pPr>
      <w:r>
        <w:t>We propose an all-inclusive winter service plan for the highlighted parking, drive lanes and private sidewalks at your property. The plan combines snow clearing, standard rock salt and a clear record of each visit.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5112"/>
        <w:gridCol w:w="5112"/>
      </w:tblGrid>
      <w:tr>
        <w:trPr>
          <w:tblHeader/>
          <w:cantSplit/>
        </w:trPr>
        <w:tc>
          <w:tcPr>
            <w:tcW w:type="dxa" w:w="5112"/>
            <w:vAlign w:val="center"/>
            <w:shd w:fill="252725"/>
          </w:tcPr>
          <w:p>
            <w:pPr>
              <w:spacing w:after="0" w:line="259" w:lineRule="auto"/>
              <w:jc w:val="left"/>
            </w:pPr>
            <w:r>
              <w:rPr>
                <w:rFonts w:ascii="DM Sans" w:hAnsi="DM Sans" w:eastAsia="DM Sans" w:cs="DM Sans"/>
                <w:b/>
                <w:color w:val="FFFFFF"/>
                <w:sz w:val="24"/>
              </w:rPr>
              <w:t>Monthly cost before HST</w:t>
            </w:r>
          </w:p>
        </w:tc>
        <w:tc>
          <w:tcPr>
            <w:tcW w:type="dxa" w:w="5112"/>
            <w:vAlign w:val="center"/>
            <w:shd w:fill="252725"/>
          </w:tcPr>
          <w:p>
            <w:pPr>
              <w:spacing w:after="0" w:line="259" w:lineRule="auto"/>
              <w:jc w:val="left"/>
            </w:pPr>
            <w:r>
              <w:rPr>
                <w:rFonts w:ascii="DM Sans" w:hAnsi="DM Sans" w:eastAsia="DM Sans" w:cs="DM Sans"/>
                <w:b/>
                <w:color w:val="FFFFFF"/>
                <w:sz w:val="24"/>
              </w:rPr>
              <w:t>Complete season before HST</w:t>
            </w:r>
          </w:p>
        </w:tc>
      </w:tr>
      <w:tr>
        <w:trPr>
          <w:cantSplit/>
        </w:trPr>
        <w:tc>
          <w:tcPr>
            <w:tcW w:type="dxa" w:w="5112"/>
            <w:vAlign w:val="center"/>
            <w:shd w:fill="FFFFFF"/>
          </w:tcPr>
          <w:p>
            <w:pPr>
              <w:spacing w:after="0" w:line="259" w:lineRule="auto"/>
              <w:jc w:val="left"/>
            </w:pPr>
            <w:r>
              <w:rPr>
                <w:rFonts w:ascii="DM Sans" w:hAnsi="DM Sans" w:eastAsia="DM Sans" w:cs="DM Sans"/>
                <w:b w:val="0"/>
                <w:color w:val="000000"/>
                <w:sz w:val="24"/>
              </w:rPr>
              <w:t>$2,500.00</w:t>
            </w:r>
          </w:p>
        </w:tc>
        <w:tc>
          <w:tcPr>
            <w:tcW w:type="dxa" w:w="5112"/>
            <w:vAlign w:val="center"/>
            <w:shd w:fill="FFFFFF"/>
          </w:tcPr>
          <w:p>
            <w:pPr>
              <w:spacing w:after="0" w:line="259" w:lineRule="auto"/>
              <w:jc w:val="left"/>
            </w:pPr>
            <w:r>
              <w:rPr>
                <w:rFonts w:ascii="DM Sans" w:hAnsi="DM Sans" w:eastAsia="DM Sans" w:cs="DM Sans"/>
                <w:b w:val="0"/>
                <w:color w:val="000000"/>
                <w:sz w:val="24"/>
              </w:rPr>
              <w:t>$12,500.00</w:t>
            </w:r>
          </w:p>
        </w:tc>
      </w:tr>
    </w:tbl>
    <w:p>
      <w:pPr>
        <w:keepNext w:val="0"/>
        <w:spacing w:after="40" w:before="0"/>
      </w:pPr>
      <w:r>
        <w:rPr>
          <w:rFonts w:ascii="DM Sans" w:hAnsi="DM Sans" w:eastAsia="DM Sans" w:cs="DM Sans"/>
          <w:b w:val="0"/>
          <w:color w:val="000000"/>
          <w:sz w:val="4"/>
        </w:rPr>
      </w:r>
    </w:p>
    <w:p>
      <w:pPr>
        <w:keepNext w:val="0"/>
        <w:spacing w:after="100" w:before="0"/>
      </w:pPr>
      <w:r>
        <w:rPr>
          <w:rFonts w:ascii="DM Sans" w:hAnsi="DM Sans" w:eastAsia="DM Sans" w:cs="DM Sans"/>
          <w:b/>
          <w:color w:val="000000"/>
          <w:sz w:val="22"/>
        </w:rPr>
        <w:t>November 15, 2026 to April 15, 2027</w:t>
      </w:r>
    </w:p>
    <w:p>
      <w:pPr>
        <w:keepNext w:val="0"/>
        <w:spacing w:after="0" w:before="0"/>
      </w:pPr>
      <w:r>
        <w:rPr>
          <w:rFonts w:ascii="DM Sans" w:hAnsi="DM Sans" w:eastAsia="DM Sans" w:cs="DM Sans"/>
          <w:b w:val="0"/>
          <w:color w:val="606661"/>
          <w:sz w:val="22"/>
        </w:rPr>
        <w:t>Five monthly payments. Ontario HST at 13% is additional.</w:t>
      </w:r>
    </w:p>
    <w:p>
      <w:pPr>
        <w:keepNext/>
        <w:pageBreakBefore/>
        <w:spacing w:after="160" w:before="0"/>
      </w:pPr>
      <w:r>
        <w:rPr>
          <w:rFonts w:ascii="DM Sans" w:hAnsi="DM Sans" w:eastAsia="DM Sans" w:cs="DM Sans"/>
          <w:b/>
          <w:color w:val="F04425"/>
          <w:sz w:val="19"/>
        </w:rPr>
        <w:t>YOUR SERVICE AREAS</w:t>
      </w:r>
    </w:p>
    <w:p>
      <w:pPr>
        <w:pStyle w:val="Heading1"/>
      </w:pPr>
      <w:r>
        <w:t>A clear plan for your property</w:t>
      </w:r>
    </w:p>
    <w:p>
      <w:pPr>
        <w:keepNext w:val="0"/>
        <w:spacing w:after="240" w:before="0"/>
      </w:pPr>
      <w:r>
        <w:t>The service areas shown below define the surfaces included in this proposal. They carry through to the separate agreement and its site instructions.</w:t>
      </w:r>
    </w:p>
    <w:p>
      <w:pPr>
        <w:spacing w:after="100"/>
      </w:pPr>
      <w:r>
        <w:drawing>
          <wp:inline xmlns:a="http://schemas.openxmlformats.org/drawingml/2006/main" xmlns:pic="http://schemas.openxmlformats.org/drawingml/2006/picture">
            <wp:extent cx="6492240" cy="4431375"/>
            <wp:docPr id="3" name="Picture 3" descr="Supplied completed service map for 10 Meadowglen Drive with vehicle surfaces in blue purple and private pedestrian routes in yellow"/>
            <wp:cNvGraphicFramePr>
              <a:graphicFrameLocks noChangeAspect="1"/>
            </wp:cNvGraphicFramePr>
            <a:graphic>
              <a:graphicData uri="http://schemas.openxmlformats.org/drawingml/2006/picture">
                <pic:pic>
                  <pic:nvPicPr>
                    <pic:cNvPr id="0" name="Service_Map.png"/>
                    <pic:cNvPicPr/>
                  </pic:nvPicPr>
                  <pic:blipFill>
                    <a:blip r:embed="rId14"/>
                    <a:srcRect t="4451"/>
                    <a:stretch>
                      <a:fillRect/>
                    </a:stretch>
                  </pic:blipFill>
                  <pic:spPr>
                    <a:xfrm>
                      <a:off x="0" y="0"/>
                      <a:ext cx="6492240" cy="4431375"/>
                    </a:xfrm>
                    <a:prstGeom prst="rect"/>
                  </pic:spPr>
                </pic:pic>
              </a:graphicData>
            </a:graphic>
          </wp:inline>
        </w:drawing>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2088"/>
        <w:gridCol w:w="8136"/>
      </w:tblGrid>
      <w:tr>
        <w:trPr>
          <w:tblHeader/>
          <w:cantSplit/>
        </w:trPr>
        <w:tc>
          <w:tcPr>
            <w:tcW w:type="dxa" w:w="2088"/>
            <w:vAlign w:val="center"/>
            <w:shd w:fill="252725"/>
          </w:tcPr>
          <w:p>
            <w:pPr>
              <w:spacing w:after="0" w:line="259" w:lineRule="auto"/>
              <w:jc w:val="left"/>
            </w:pPr>
            <w:r>
              <w:rPr>
                <w:rFonts w:ascii="DM Sans" w:hAnsi="DM Sans" w:eastAsia="DM Sans" w:cs="DM Sans"/>
                <w:b/>
                <w:color w:val="FFFFFF"/>
                <w:sz w:val="21"/>
              </w:rPr>
              <w:t>Map shading</w:t>
            </w:r>
          </w:p>
        </w:tc>
        <w:tc>
          <w:tcPr>
            <w:tcW w:type="dxa" w:w="8136"/>
            <w:vAlign w:val="center"/>
            <w:shd w:fill="252725"/>
          </w:tcPr>
          <w:p>
            <w:pPr>
              <w:spacing w:after="0" w:line="259" w:lineRule="auto"/>
              <w:jc w:val="left"/>
            </w:pPr>
            <w:r>
              <w:rPr>
                <w:rFonts w:ascii="DM Sans" w:hAnsi="DM Sans" w:eastAsia="DM Sans" w:cs="DM Sans"/>
                <w:b/>
                <w:color w:val="FFFFFF"/>
                <w:sz w:val="21"/>
              </w:rPr>
              <w:t>Included surfaces</w:t>
            </w:r>
          </w:p>
        </w:tc>
      </w:tr>
      <w:tr>
        <w:trPr>
          <w:cantSplit/>
        </w:trPr>
        <w:tc>
          <w:tcPr>
            <w:tcW w:type="dxa" w:w="2088"/>
            <w:vAlign w:val="center"/>
            <w:shd w:fill="FFFFFF"/>
          </w:tcPr>
          <w:p>
            <w:pPr>
              <w:spacing w:after="0" w:line="259" w:lineRule="auto"/>
              <w:jc w:val="left"/>
            </w:pPr>
            <w:r>
              <w:rPr>
                <w:rFonts w:ascii="DM Sans" w:hAnsi="DM Sans" w:eastAsia="DM Sans" w:cs="DM Sans"/>
                <w:b w:val="0"/>
                <w:color w:val="000000"/>
                <w:sz w:val="21"/>
              </w:rPr>
              <w:t>Blue and purple</w:t>
            </w:r>
          </w:p>
        </w:tc>
        <w:tc>
          <w:tcPr>
            <w:tcW w:type="dxa" w:w="8136"/>
            <w:vAlign w:val="center"/>
            <w:shd w:fill="FFFFFF"/>
          </w:tcPr>
          <w:p>
            <w:pPr>
              <w:spacing w:after="0" w:line="259" w:lineRule="auto"/>
              <w:jc w:val="left"/>
            </w:pPr>
            <w:r>
              <w:rPr>
                <w:rFonts w:ascii="DM Sans" w:hAnsi="DM Sans" w:eastAsia="DM Sans" w:cs="DM Sans"/>
                <w:b w:val="0"/>
                <w:color w:val="000000"/>
                <w:sz w:val="21"/>
              </w:rPr>
              <w:t>Highlighted vehicle parking areas, drive lanes and entrance connections</w:t>
            </w:r>
          </w:p>
        </w:tc>
      </w:tr>
      <w:tr>
        <w:trPr>
          <w:cantSplit/>
        </w:trPr>
        <w:tc>
          <w:tcPr>
            <w:tcW w:type="dxa" w:w="2088"/>
            <w:vAlign w:val="center"/>
            <w:shd w:fill="F5F6F3"/>
          </w:tcPr>
          <w:p>
            <w:pPr>
              <w:spacing w:after="0" w:line="259" w:lineRule="auto"/>
              <w:jc w:val="left"/>
            </w:pPr>
            <w:r>
              <w:rPr>
                <w:rFonts w:ascii="DM Sans" w:hAnsi="DM Sans" w:eastAsia="DM Sans" w:cs="DM Sans"/>
                <w:b w:val="0"/>
                <w:color w:val="000000"/>
                <w:sz w:val="21"/>
              </w:rPr>
              <w:t>Yellow</w:t>
            </w:r>
          </w:p>
        </w:tc>
        <w:tc>
          <w:tcPr>
            <w:tcW w:type="dxa" w:w="8136"/>
            <w:vAlign w:val="center"/>
            <w:shd w:fill="F5F6F3"/>
          </w:tcPr>
          <w:p>
            <w:pPr>
              <w:spacing w:after="0" w:line="259" w:lineRule="auto"/>
              <w:jc w:val="left"/>
            </w:pPr>
            <w:r>
              <w:rPr>
                <w:rFonts w:ascii="DM Sans" w:hAnsi="DM Sans" w:eastAsia="DM Sans" w:cs="DM Sans"/>
                <w:b w:val="0"/>
                <w:color w:val="000000"/>
                <w:sz w:val="21"/>
              </w:rPr>
              <w:t>Highlighted private sidewalks and storefront approaches</w:t>
            </w:r>
          </w:p>
        </w:tc>
      </w:tr>
    </w:tbl>
    <w:p>
      <w:pPr>
        <w:keepNext w:val="0"/>
        <w:spacing w:after="40" w:before="0"/>
      </w:pPr>
      <w:r>
        <w:rPr>
          <w:rFonts w:ascii="DM Sans" w:hAnsi="DM Sans" w:eastAsia="DM Sans" w:cs="DM Sans"/>
          <w:b w:val="0"/>
          <w:color w:val="000000"/>
          <w:sz w:val="4"/>
        </w:rPr>
      </w:r>
    </w:p>
    <w:p>
      <w:pPr>
        <w:keepNext w:val="0"/>
        <w:spacing w:after="160" w:before="0"/>
      </w:pPr>
      <w:r>
        <w:t>Municipal sidewalks, public roads and areas outside the highlighted service coverage are excluded. Buildings, lawns and planted areas are not service surfaces.</w:t>
      </w:r>
    </w:p>
    <w:p>
      <w:pPr>
        <w:keepNext/>
        <w:pageBreakBefore/>
        <w:spacing w:after="160" w:before="0"/>
      </w:pPr>
      <w:r>
        <w:rPr>
          <w:rFonts w:ascii="DM Sans" w:hAnsi="DM Sans" w:eastAsia="DM Sans" w:cs="DM Sans"/>
          <w:b/>
          <w:color w:val="F04425"/>
          <w:sz w:val="19"/>
        </w:rPr>
        <w:t>YOUR SERVICE PLAN</w:t>
      </w:r>
    </w:p>
    <w:p>
      <w:pPr>
        <w:pStyle w:val="Heading1"/>
      </w:pPr>
      <w:r>
        <w:t>Service around your business</w:t>
      </w:r>
    </w:p>
    <w:p>
      <w:pPr>
        <w:keepNext w:val="0"/>
        <w:spacing w:after="260" w:before="0"/>
      </w:pPr>
      <w:r>
        <w:t>The seasonal plan covers unlimited plowing and salting in the designated service areas. We plan each visit around the property, the weather and the access available when our crew arrives.</w:t>
      </w:r>
    </w:p>
    <w:p>
      <w:pPr>
        <w:pStyle w:val="Heading2"/>
      </w:pPr>
      <w:r>
        <w:t>Snow plowing</w:t>
      </w:r>
    </w:p>
    <w:p>
      <w:pPr>
        <w:keepNext w:val="0"/>
        <w:spacing w:after="160" w:before="0"/>
      </w:pPr>
      <w:r>
        <w:t>The plowing trigger is 5 cm of accumulation in the serviced areas. During prolonged snowfall, interim passes are made where reasonably necessary to keep included priority entrances, exits and pedestrian routes usable, subject to safe operations. Detailed cleanup follows when accumulation eases and traffic permits.</w:t>
      </w:r>
    </w:p>
    <w:p>
      <w:pPr>
        <w:pStyle w:val="Heading2"/>
      </w:pPr>
      <w:r>
        <w:t>Private sidewalks</w:t>
      </w:r>
    </w:p>
    <w:p>
      <w:pPr>
        <w:keepNext w:val="0"/>
        <w:spacing w:after="160" w:before="0"/>
      </w:pPr>
      <w:r>
        <w:t>The private sidewalks and storefront approaches highlighted in yellow are included for snow clearing and salting. Public sidewalks are excluded from this proposal. Parked vehicles and other obstructions can affect access to parts of the service area.</w:t>
      </w:r>
    </w:p>
    <w:p>
      <w:pPr>
        <w:pStyle w:val="Heading2"/>
      </w:pPr>
      <w:r>
        <w:t>Salting</w:t>
      </w:r>
    </w:p>
    <w:p>
      <w:pPr>
        <w:keepNext w:val="0"/>
        <w:spacing w:after="160" w:before="0"/>
      </w:pPr>
      <w:r>
        <w:t>Unlimited standard rock salt applications, monitoring and reasonably required repeat treatments are included for the designated surfaces. Treatment is assessed below the plowing trigger, after clearing, during freezing rain and through thaw-freeze conditions. Salt takes time to work, and effectiveness varies with temperature and continuing precipitation.</w:t>
      </w:r>
    </w:p>
    <w:p>
      <w:pPr>
        <w:pStyle w:val="Heading2"/>
      </w:pPr>
      <w:r>
        <w:t>Timing at 10 Meadowglen Drive</w:t>
      </w:r>
    </w:p>
    <w:p>
      <w:pPr>
        <w:keepNext w:val="0"/>
        <w:spacing w:after="200" w:before="0"/>
      </w:pPr>
      <w:r>
        <w:t>For overnight snow events, plowing will be completed overnight. During daytime snow events, laneways, entrances and sidewalks will be opened up, and cleanup will be completed overnight when the property is empty.</w:t>
      </w:r>
    </w:p>
    <w:p>
      <w:pPr>
        <w:keepNext w:val="0"/>
        <w:spacing w:after="200" w:before="0"/>
      </w:pPr>
      <w:r>
        <w:t>Service timing remains subject to safe operations, actual weather and access conditions, and the complete standards and qualifications in the agreement. Please keep included areas clear of vehicles and other obstructions where possible.</w:t>
      </w:r>
    </w:p>
    <w:p>
      <w:pPr>
        <w:pStyle w:val="Heading2"/>
      </w:pPr>
      <w:r>
        <w:t>Winter service contact</w:t>
      </w:r>
    </w:p>
    <w:p>
      <w:pPr>
        <w:keepNext w:val="0"/>
        <w:spacing w:after="0" w:before="0"/>
      </w:pPr>
      <w:r>
        <w:t>Call 289-987-4044 for winter service concerns and urgent service requests. The line is available 24/7 during the service term. This is a winter service contact, not an emergency response service.</w:t>
      </w:r>
    </w:p>
    <w:p>
      <w:pPr>
        <w:keepNext/>
        <w:pageBreakBefore/>
        <w:spacing w:after="160" w:before="0"/>
      </w:pPr>
      <w:r>
        <w:rPr>
          <w:rFonts w:ascii="DM Sans" w:hAnsi="DM Sans" w:eastAsia="DM Sans" w:cs="DM Sans"/>
          <w:b/>
          <w:color w:val="F04425"/>
          <w:sz w:val="19"/>
        </w:rPr>
        <w:t>THE DPR EXPERIENCE</w:t>
      </w:r>
    </w:p>
    <w:p>
      <w:pPr>
        <w:pStyle w:val="Heading1"/>
      </w:pPr>
      <w:r>
        <w:t>Quality matters in winter</w:t>
      </w:r>
    </w:p>
    <w:p>
      <w:pPr>
        <w:keepNext w:val="0"/>
        <w:spacing w:after="320" w:before="0"/>
      </w:pPr>
      <w:r>
        <w:t>We take the time to understand how your property is used, where access matters most and what the crew needs to know before a storm. The service map and property instructions make those expectations clear.</w:t>
      </w:r>
    </w:p>
    <w:p>
      <w:pPr>
        <w:spacing w:after="80"/>
      </w:pPr>
      <w:r>
        <w:drawing>
          <wp:inline xmlns:a="http://schemas.openxmlformats.org/drawingml/2006/main" xmlns:pic="http://schemas.openxmlformats.org/drawingml/2006/picture">
            <wp:extent cx="2944368" cy="1657087"/>
            <wp:docPr id="4" name="Picture 4" descr="Illustration of a DPR Chevrolet snow service truck with plow"/>
            <wp:cNvGraphicFramePr>
              <a:graphicFrameLocks noChangeAspect="1"/>
            </wp:cNvGraphicFramePr>
            <a:graphic>
              <a:graphicData uri="http://schemas.openxmlformats.org/drawingml/2006/picture">
                <pic:pic>
                  <pic:nvPicPr>
                    <pic:cNvPr id="0" name="Fleet_Chevrolet.png"/>
                    <pic:cNvPicPr/>
                  </pic:nvPicPr>
                  <pic:blipFill>
                    <a:blip r:embed="rId15"/>
                    <a:stretch>
                      <a:fillRect/>
                    </a:stretch>
                  </pic:blipFill>
                  <pic:spPr>
                    <a:xfrm>
                      <a:off x="0" y="0"/>
                      <a:ext cx="2944368" cy="1657087"/>
                    </a:xfrm>
                    <a:prstGeom prst="rect"/>
                  </pic:spPr>
                </pic:pic>
              </a:graphicData>
            </a:graphic>
          </wp:inline>
        </w:drawing>
      </w:r>
      <w:r>
        <w:t xml:space="preserve">  </w:t>
      </w:r>
      <w:r>
        <w:drawing>
          <wp:inline xmlns:a="http://schemas.openxmlformats.org/drawingml/2006/main" xmlns:pic="http://schemas.openxmlformats.org/drawingml/2006/picture">
            <wp:extent cx="2944368" cy="1657087"/>
            <wp:docPr id="5" name="Picture 5" descr="Illustration of a DPR RAM snow service truck with plow"/>
            <wp:cNvGraphicFramePr>
              <a:graphicFrameLocks noChangeAspect="1"/>
            </wp:cNvGraphicFramePr>
            <a:graphic>
              <a:graphicData uri="http://schemas.openxmlformats.org/drawingml/2006/picture">
                <pic:pic>
                  <pic:nvPicPr>
                    <pic:cNvPr id="0" name="Fleet_RAM.png"/>
                    <pic:cNvPicPr/>
                  </pic:nvPicPr>
                  <pic:blipFill>
                    <a:blip r:embed="rId16"/>
                    <a:stretch>
                      <a:fillRect/>
                    </a:stretch>
                  </pic:blipFill>
                  <pic:spPr>
                    <a:xfrm>
                      <a:off x="0" y="0"/>
                      <a:ext cx="2944368" cy="1657087"/>
                    </a:xfrm>
                    <a:prstGeom prst="rect"/>
                  </pic:spPr>
                </pic:pic>
              </a:graphicData>
            </a:graphic>
          </wp:inline>
        </w:drawing>
      </w:r>
    </w:p>
    <w:p>
      <w:pPr>
        <w:pStyle w:val="Caption"/>
        <w:keepNext w:val="0"/>
        <w:spacing w:after="160" w:before="0"/>
      </w:pPr>
      <w:r>
        <w:t>Snow-service illustrations. These images do not depict work completed at this property.</w:t>
      </w:r>
    </w:p>
    <w:p>
      <w:pPr>
        <w:pStyle w:val="Heading2"/>
      </w:pPr>
      <w:r>
        <w:t>Service tailored to the property</w:t>
      </w:r>
    </w:p>
    <w:p>
      <w:pPr>
        <w:keepNext w:val="0"/>
        <w:spacing w:after="160" w:before="0"/>
      </w:pPr>
      <w:r>
        <w:t>Your plan covers the highlighted surfaces at 10 Meadowglen Drive, with daytime access passes and overnight cleanup as described in the property instructions. The crew can adjust the sequence of work to actual site and storm conditions while following the agreed service standards.</w:t>
      </w:r>
    </w:p>
    <w:p>
      <w:pPr>
        <w:pStyle w:val="Heading2"/>
      </w:pPr>
      <w:r>
        <w:t>Care on site</w:t>
      </w:r>
    </w:p>
    <w:p>
      <w:pPr>
        <w:keepNext w:val="0"/>
        <w:spacing w:after="160" w:before="0"/>
      </w:pPr>
      <w:r>
        <w:t>DPR uses suitable labour, equipment and materials for the agreed services. Before the season, the service areas, known hazards and snow storage locations are reviewed with the property representative. Please advise us of access restrictions, concealed obstacles and changes to the site.</w:t>
      </w:r>
    </w:p>
    <w:p>
      <w:pPr>
        <w:pStyle w:val="Heading2"/>
      </w:pPr>
      <w:r>
        <w:t>Communication and records</w:t>
      </w:r>
    </w:p>
    <w:p>
      <w:pPr>
        <w:keepNext w:val="0"/>
        <w:spacing w:after="0" w:before="0"/>
      </w:pPr>
      <w:r>
        <w:t>GPS attendance records and electronic service reports help you see when we attended and what was recorded. If weather, traffic or an obstruction causes a material delay, we communicate the delay and expected return. Monthly service logs are available on request.</w:t>
      </w:r>
    </w:p>
    <w:p>
      <w:pPr>
        <w:keepNext/>
        <w:pageBreakBefore/>
        <w:spacing w:after="160" w:before="0"/>
      </w:pPr>
      <w:r>
        <w:rPr>
          <w:rFonts w:ascii="DM Sans" w:hAnsi="DM Sans" w:eastAsia="DM Sans" w:cs="DM Sans"/>
          <w:b/>
          <w:color w:val="F04425"/>
          <w:sz w:val="19"/>
        </w:rPr>
        <w:t>SERVICE REPORTING</w:t>
      </w:r>
    </w:p>
    <w:p>
      <w:pPr>
        <w:pStyle w:val="Heading1"/>
      </w:pPr>
      <w:r>
        <w:t>Know when we attend</w:t>
      </w:r>
    </w:p>
    <w:p>
      <w:pPr>
        <w:keepNext w:val="0"/>
        <w:spacing w:after="240" w:before="0"/>
      </w:pPr>
      <w:r>
        <w:t>Our service platform records visits and keeps your designated contact informed. Notifications and reports support the service record; the winter telephone remains the route for urgent concerns.</w:t>
      </w:r>
    </w:p>
    <w:p>
      <w:pPr>
        <w:pStyle w:val="Heading2"/>
      </w:pPr>
      <w:r>
        <w:t>1 Weather planning</w:t>
      </w:r>
    </w:p>
    <w:p>
      <w:pPr>
        <w:keepNext w:val="0"/>
        <w:spacing w:after="140" w:before="0"/>
      </w:pPr>
      <w:r>
        <w:t>We monitor relevant forecasts, warnings and reported conditions to plan the services in your agreement. Conditions actually observed at the property guide the work performed.</w:t>
      </w:r>
    </w:p>
    <w:p>
      <w:pPr>
        <w:pStyle w:val="Heading2"/>
      </w:pPr>
      <w:r>
        <w:t>2 Arrival notification</w:t>
      </w:r>
    </w:p>
    <w:p>
      <w:pPr>
        <w:keepNext w:val="0"/>
        <w:spacing w:after="140" w:before="0"/>
      </w:pPr>
      <w:r>
        <w:t>GPS geofencing generates an automated arrival notification for your designated recipient when an attendance event is recorded. We use reasonable efforts to deliver notifications in real time.</w:t>
      </w:r>
    </w:p>
    <w:p>
      <w:pPr>
        <w:pStyle w:val="Heading2"/>
      </w:pPr>
      <w:r>
        <w:t>3 Completion report</w:t>
      </w:r>
    </w:p>
    <w:p>
      <w:pPr>
        <w:keepNext w:val="0"/>
        <w:spacing w:after="140" w:before="0"/>
      </w:pPr>
      <w:r>
        <w:t>After a visit, an electronic report identifies the services actually performed and available weather and site details. If a system interruption delays reporting, records are made available after the interruption.</w:t>
      </w:r>
    </w:p>
    <w:p>
      <w:pPr>
        <w:pStyle w:val="Heading2"/>
      </w:pPr>
      <w:r>
        <w:t>4 Departure record</w:t>
      </w:r>
    </w:p>
    <w:p>
      <w:pPr>
        <w:keepNext w:val="0"/>
        <w:spacing w:after="200" w:before="0"/>
      </w:pPr>
      <w:r>
        <w:t>The platform generates a departure notification from the GPS geofence event. A geofence event alone does not prove that every task or area was completed or that salting occurred.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2088"/>
        <w:gridCol w:w="8136"/>
      </w:tblGrid>
      <w:tr>
        <w:trPr>
          <w:tblHeader/>
          <w:cantSplit/>
        </w:trPr>
        <w:tc>
          <w:tcPr>
            <w:tcW w:type="dxa" w:w="2088"/>
            <w:vAlign w:val="center"/>
            <w:shd w:fill="252725"/>
          </w:tcPr>
          <w:p>
            <w:pPr>
              <w:spacing w:after="0" w:line="259" w:lineRule="auto"/>
              <w:jc w:val="left"/>
            </w:pPr>
            <w:r>
              <w:rPr>
                <w:rFonts w:ascii="DM Sans" w:hAnsi="DM Sans" w:eastAsia="DM Sans" w:cs="DM Sans"/>
                <w:b/>
                <w:color w:val="FFFFFF"/>
                <w:sz w:val="20"/>
              </w:rPr>
              <w:t>Visit record</w:t>
            </w:r>
          </w:p>
        </w:tc>
        <w:tc>
          <w:tcPr>
            <w:tcW w:type="dxa" w:w="8136"/>
            <w:vAlign w:val="center"/>
            <w:shd w:fill="252725"/>
          </w:tcPr>
          <w:p>
            <w:pPr>
              <w:spacing w:after="0" w:line="259" w:lineRule="auto"/>
              <w:jc w:val="left"/>
            </w:pPr>
            <w:r>
              <w:rPr>
                <w:rFonts w:ascii="DM Sans" w:hAnsi="DM Sans" w:eastAsia="DM Sans" w:cs="DM Sans"/>
                <w:b/>
                <w:color w:val="FFFFFF"/>
                <w:sz w:val="20"/>
              </w:rPr>
              <w:t>Information recorded where applicable</w:t>
            </w:r>
          </w:p>
        </w:tc>
      </w:tr>
      <w:tr>
        <w:trPr>
          <w:cantSplit/>
        </w:trPr>
        <w:tc>
          <w:tcPr>
            <w:tcW w:type="dxa" w:w="2088"/>
            <w:vAlign w:val="center"/>
            <w:shd w:fill="FFFFFF"/>
          </w:tcPr>
          <w:p>
            <w:pPr>
              <w:spacing w:after="0" w:line="259" w:lineRule="auto"/>
              <w:jc w:val="left"/>
            </w:pPr>
            <w:r>
              <w:rPr>
                <w:rFonts w:ascii="DM Sans" w:hAnsi="DM Sans" w:eastAsia="DM Sans" w:cs="DM Sans"/>
                <w:b w:val="0"/>
                <w:color w:val="000000"/>
                <w:sz w:val="20"/>
              </w:rPr>
              <w:t>Attendance</w:t>
            </w:r>
          </w:p>
        </w:tc>
        <w:tc>
          <w:tcPr>
            <w:tcW w:type="dxa" w:w="8136"/>
            <w:vAlign w:val="center"/>
            <w:shd w:fill="FFFFFF"/>
          </w:tcPr>
          <w:p>
            <w:pPr>
              <w:spacing w:after="0" w:line="259" w:lineRule="auto"/>
              <w:jc w:val="left"/>
            </w:pPr>
            <w:r>
              <w:rPr>
                <w:rFonts w:ascii="DM Sans" w:hAnsi="DM Sans" w:eastAsia="DM Sans" w:cs="DM Sans"/>
                <w:b w:val="0"/>
                <w:color w:val="000000"/>
                <w:sz w:val="20"/>
              </w:rPr>
              <w:t>Date and attendance times</w:t>
            </w:r>
          </w:p>
        </w:tc>
      </w:tr>
      <w:tr>
        <w:trPr>
          <w:cantSplit/>
        </w:trPr>
        <w:tc>
          <w:tcPr>
            <w:tcW w:type="dxa" w:w="2088"/>
            <w:vAlign w:val="center"/>
            <w:shd w:fill="F5F6F3"/>
          </w:tcPr>
          <w:p>
            <w:pPr>
              <w:spacing w:after="0" w:line="259" w:lineRule="auto"/>
              <w:jc w:val="left"/>
            </w:pPr>
            <w:r>
              <w:rPr>
                <w:rFonts w:ascii="DM Sans" w:hAnsi="DM Sans" w:eastAsia="DM Sans" w:cs="DM Sans"/>
                <w:b w:val="0"/>
                <w:color w:val="000000"/>
                <w:sz w:val="20"/>
              </w:rPr>
              <w:t>Services and areas</w:t>
            </w:r>
          </w:p>
        </w:tc>
        <w:tc>
          <w:tcPr>
            <w:tcW w:type="dxa" w:w="8136"/>
            <w:vAlign w:val="center"/>
            <w:shd w:fill="F5F6F3"/>
          </w:tcPr>
          <w:p>
            <w:pPr>
              <w:spacing w:after="0" w:line="259" w:lineRule="auto"/>
              <w:jc w:val="left"/>
            </w:pPr>
            <w:r>
              <w:rPr>
                <w:rFonts w:ascii="DM Sans" w:hAnsi="DM Sans" w:eastAsia="DM Sans" w:cs="DM Sans"/>
                <w:b w:val="0"/>
                <w:color w:val="000000"/>
                <w:sz w:val="20"/>
              </w:rPr>
              <w:t>Work performed, treated surfaces and actual salting applications</w:t>
            </w:r>
          </w:p>
        </w:tc>
      </w:tr>
      <w:tr>
        <w:trPr>
          <w:cantSplit/>
        </w:trPr>
        <w:tc>
          <w:tcPr>
            <w:tcW w:type="dxa" w:w="2088"/>
            <w:vAlign w:val="center"/>
            <w:shd w:fill="FFFFFF"/>
          </w:tcPr>
          <w:p>
            <w:pPr>
              <w:spacing w:after="0" w:line="259" w:lineRule="auto"/>
              <w:jc w:val="left"/>
            </w:pPr>
            <w:r>
              <w:rPr>
                <w:rFonts w:ascii="DM Sans" w:hAnsi="DM Sans" w:eastAsia="DM Sans" w:cs="DM Sans"/>
                <w:b w:val="0"/>
                <w:color w:val="000000"/>
                <w:sz w:val="20"/>
              </w:rPr>
              <w:t>Conditions</w:t>
            </w:r>
          </w:p>
        </w:tc>
        <w:tc>
          <w:tcPr>
            <w:tcW w:type="dxa" w:w="8136"/>
            <w:vAlign w:val="center"/>
            <w:shd w:fill="FFFFFF"/>
          </w:tcPr>
          <w:p>
            <w:pPr>
              <w:spacing w:after="0" w:line="259" w:lineRule="auto"/>
              <w:jc w:val="left"/>
            </w:pPr>
            <w:r>
              <w:rPr>
                <w:rFonts w:ascii="DM Sans" w:hAnsi="DM Sans" w:eastAsia="DM Sans" w:cs="DM Sans"/>
                <w:b w:val="0"/>
                <w:color w:val="000000"/>
                <w:sz w:val="20"/>
              </w:rPr>
              <w:t>Available observations about weather, snow and site conditions</w:t>
            </w:r>
          </w:p>
        </w:tc>
      </w:tr>
      <w:tr>
        <w:trPr>
          <w:cantSplit/>
        </w:trPr>
        <w:tc>
          <w:tcPr>
            <w:tcW w:type="dxa" w:w="2088"/>
            <w:vAlign w:val="center"/>
            <w:shd w:fill="F5F6F3"/>
          </w:tcPr>
          <w:p>
            <w:pPr>
              <w:spacing w:after="0" w:line="259" w:lineRule="auto"/>
              <w:jc w:val="left"/>
            </w:pPr>
            <w:r>
              <w:rPr>
                <w:rFonts w:ascii="DM Sans" w:hAnsi="DM Sans" w:eastAsia="DM Sans" w:cs="DM Sans"/>
                <w:b w:val="0"/>
                <w:color w:val="000000"/>
                <w:sz w:val="20"/>
              </w:rPr>
              <w:t>Follow-up and access</w:t>
            </w:r>
          </w:p>
        </w:tc>
        <w:tc>
          <w:tcPr>
            <w:tcW w:type="dxa" w:w="8136"/>
            <w:vAlign w:val="center"/>
            <w:shd w:fill="F5F6F3"/>
          </w:tcPr>
          <w:p>
            <w:pPr>
              <w:spacing w:after="0" w:line="259" w:lineRule="auto"/>
              <w:jc w:val="left"/>
            </w:pPr>
            <w:r>
              <w:rPr>
                <w:rFonts w:ascii="DM Sans" w:hAnsi="DM Sans" w:eastAsia="DM Sans" w:cs="DM Sans"/>
                <w:b w:val="0"/>
                <w:color w:val="000000"/>
                <w:sz w:val="20"/>
              </w:rPr>
              <w:t>Areas not serviced and reasons, notes and next steps</w:t>
            </w:r>
          </w:p>
        </w:tc>
      </w:tr>
    </w:tbl>
    <w:p>
      <w:pPr>
        <w:keepNext w:val="0"/>
        <w:spacing w:after="40" w:before="0"/>
      </w:pPr>
      <w:r>
        <w:rPr>
          <w:rFonts w:ascii="DM Sans" w:hAnsi="DM Sans" w:eastAsia="DM Sans" w:cs="DM Sans"/>
          <w:b w:val="0"/>
          <w:color w:val="000000"/>
          <w:sz w:val="4"/>
        </w:rPr>
      </w:r>
    </w:p>
    <w:p>
      <w:pPr>
        <w:pStyle w:val="Caption"/>
        <w:keepNext w:val="0"/>
        <w:spacing w:after="160" w:before="0"/>
      </w:pPr>
      <w:r>
        <w:t>Reporting workflow illustration only. This page is not a completed service report for 10 Meadowglen Drive.</w:t>
      </w:r>
    </w:p>
    <w:p>
      <w:pPr>
        <w:keepNext w:val="0"/>
        <w:spacing w:after="0" w:before="0"/>
      </w:pPr>
      <w:r>
        <w:rPr>
          <w:rFonts w:ascii="DM Sans" w:hAnsi="DM Sans" w:eastAsia="DM Sans" w:cs="DM Sans"/>
          <w:b/>
          <w:color w:val="000000"/>
          <w:sz w:val="22"/>
        </w:rPr>
        <w:t>Winter service concerns and requests: 289-987-4044</w:t>
      </w:r>
    </w:p>
    <w:p>
      <w:pPr>
        <w:keepNext/>
        <w:pageBreakBefore/>
        <w:spacing w:after="160" w:before="0"/>
      </w:pPr>
      <w:r>
        <w:rPr>
          <w:rFonts w:ascii="DM Sans" w:hAnsi="DM Sans" w:eastAsia="DM Sans" w:cs="DM Sans"/>
          <w:b/>
          <w:color w:val="F04425"/>
          <w:sz w:val="19"/>
        </w:rPr>
        <w:t>YOUR SEASONAL PRICE</w:t>
      </w:r>
    </w:p>
    <w:p>
      <w:pPr>
        <w:pStyle w:val="Heading1"/>
      </w:pPr>
      <w:r>
        <w:t>A price you can budget for</w:t>
      </w:r>
    </w:p>
    <w:p>
      <w:pPr>
        <w:keepNext w:val="0"/>
        <w:spacing w:after="280" w:before="0"/>
      </w:pPr>
      <w:r>
        <w:t>One fixed seasonal charge covers the selected plowing and salting services, with five scheduled payments. Authorized extras and any applicable fuel adjustment are invoiced separately under the agreement.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3240"/>
        <w:gridCol w:w="2304"/>
        <w:gridCol w:w="1800"/>
        <w:gridCol w:w="2880"/>
      </w:tblGrid>
      <w:tr>
        <w:trPr>
          <w:tblHeader/>
          <w:cantSplit/>
        </w:trPr>
        <w:tc>
          <w:tcPr>
            <w:tcW w:type="dxa" w:w="3240"/>
            <w:vAlign w:val="center"/>
            <w:shd w:fill="252725"/>
          </w:tcPr>
          <w:p>
            <w:pPr>
              <w:spacing w:after="0" w:line="259" w:lineRule="auto"/>
              <w:jc w:val="left"/>
            </w:pPr>
            <w:r>
              <w:rPr>
                <w:rFonts w:ascii="DM Sans" w:hAnsi="DM Sans" w:eastAsia="DM Sans" w:cs="DM Sans"/>
                <w:b/>
                <w:color w:val="FFFFFF"/>
                <w:sz w:val="22"/>
              </w:rPr>
              <w:t>Price</w:t>
            </w:r>
          </w:p>
        </w:tc>
        <w:tc>
          <w:tcPr>
            <w:tcW w:type="dxa" w:w="2304"/>
            <w:vAlign w:val="center"/>
            <w:shd w:fill="252725"/>
          </w:tcPr>
          <w:p>
            <w:pPr>
              <w:spacing w:after="0" w:line="259" w:lineRule="auto"/>
              <w:jc w:val="right"/>
            </w:pPr>
            <w:r>
              <w:rPr>
                <w:rFonts w:ascii="DM Sans" w:hAnsi="DM Sans" w:eastAsia="DM Sans" w:cs="DM Sans"/>
                <w:b/>
                <w:color w:val="FFFFFF"/>
                <w:sz w:val="22"/>
              </w:rPr>
              <w:t>Before HST</w:t>
            </w:r>
          </w:p>
        </w:tc>
        <w:tc>
          <w:tcPr>
            <w:tcW w:type="dxa" w:w="1800"/>
            <w:vAlign w:val="center"/>
            <w:shd w:fill="252725"/>
          </w:tcPr>
          <w:p>
            <w:pPr>
              <w:spacing w:after="0" w:line="259" w:lineRule="auto"/>
              <w:jc w:val="right"/>
            </w:pPr>
            <w:r>
              <w:rPr>
                <w:rFonts w:ascii="DM Sans" w:hAnsi="DM Sans" w:eastAsia="DM Sans" w:cs="DM Sans"/>
                <w:b/>
                <w:color w:val="FFFFFF"/>
                <w:sz w:val="22"/>
              </w:rPr>
              <w:t>HST 13%</w:t>
            </w:r>
          </w:p>
        </w:tc>
        <w:tc>
          <w:tcPr>
            <w:tcW w:type="dxa" w:w="2880"/>
            <w:vAlign w:val="center"/>
            <w:shd w:fill="252725"/>
          </w:tcPr>
          <w:p>
            <w:pPr>
              <w:spacing w:after="0" w:line="259" w:lineRule="auto"/>
              <w:jc w:val="right"/>
            </w:pPr>
            <w:r>
              <w:rPr>
                <w:rFonts w:ascii="DM Sans" w:hAnsi="DM Sans" w:eastAsia="DM Sans" w:cs="DM Sans"/>
                <w:b/>
                <w:color w:val="FFFFFF"/>
                <w:sz w:val="22"/>
              </w:rPr>
              <w:t>Including HST</w:t>
            </w:r>
          </w:p>
        </w:tc>
      </w:tr>
      <w:tr>
        <w:trPr>
          <w:cantSplit/>
        </w:trPr>
        <w:tc>
          <w:tcPr>
            <w:tcW w:type="dxa" w:w="3240"/>
            <w:vAlign w:val="center"/>
            <w:shd w:fill="FFFFFF"/>
          </w:tcPr>
          <w:p>
            <w:pPr>
              <w:spacing w:after="0" w:line="259" w:lineRule="auto"/>
              <w:jc w:val="left"/>
            </w:pPr>
            <w:r>
              <w:rPr>
                <w:rFonts w:ascii="DM Sans" w:hAnsi="DM Sans" w:eastAsia="DM Sans" w:cs="DM Sans"/>
                <w:b w:val="0"/>
                <w:color w:val="000000"/>
                <w:sz w:val="22"/>
              </w:rPr>
              <w:t>Monthly installment</w:t>
            </w:r>
          </w:p>
        </w:tc>
        <w:tc>
          <w:tcPr>
            <w:tcW w:type="dxa" w:w="2304"/>
            <w:vAlign w:val="center"/>
            <w:shd w:fill="FFFFFF"/>
          </w:tcPr>
          <w:p>
            <w:pPr>
              <w:spacing w:after="0" w:line="259" w:lineRule="auto"/>
              <w:jc w:val="right"/>
            </w:pPr>
            <w:r>
              <w:rPr>
                <w:rFonts w:ascii="DM Sans" w:hAnsi="DM Sans" w:eastAsia="DM Sans" w:cs="DM Sans"/>
                <w:b w:val="0"/>
                <w:color w:val="000000"/>
                <w:sz w:val="22"/>
              </w:rPr>
              <w:t>$2,500.00</w:t>
            </w:r>
          </w:p>
        </w:tc>
        <w:tc>
          <w:tcPr>
            <w:tcW w:type="dxa" w:w="1800"/>
            <w:vAlign w:val="center"/>
            <w:shd w:fill="FFFFFF"/>
          </w:tcPr>
          <w:p>
            <w:pPr>
              <w:spacing w:after="0" w:line="259" w:lineRule="auto"/>
              <w:jc w:val="right"/>
            </w:pPr>
            <w:r>
              <w:rPr>
                <w:rFonts w:ascii="DM Sans" w:hAnsi="DM Sans" w:eastAsia="DM Sans" w:cs="DM Sans"/>
                <w:b w:val="0"/>
                <w:color w:val="000000"/>
                <w:sz w:val="22"/>
              </w:rPr>
              <w:t>$325.00</w:t>
            </w:r>
          </w:p>
        </w:tc>
        <w:tc>
          <w:tcPr>
            <w:tcW w:type="dxa" w:w="2880"/>
            <w:vAlign w:val="center"/>
            <w:shd w:fill="FFFFFF"/>
          </w:tcPr>
          <w:p>
            <w:pPr>
              <w:spacing w:after="0" w:line="259" w:lineRule="auto"/>
              <w:jc w:val="right"/>
            </w:pPr>
            <w:r>
              <w:rPr>
                <w:rFonts w:ascii="DM Sans" w:hAnsi="DM Sans" w:eastAsia="DM Sans" w:cs="DM Sans"/>
                <w:b w:val="0"/>
                <w:color w:val="000000"/>
                <w:sz w:val="22"/>
              </w:rPr>
              <w:t>$2,825.00</w:t>
            </w:r>
          </w:p>
        </w:tc>
      </w:tr>
      <w:tr>
        <w:trPr>
          <w:cantSplit/>
        </w:trPr>
        <w:tc>
          <w:tcPr>
            <w:tcW w:type="dxa" w:w="3240"/>
            <w:vAlign w:val="center"/>
            <w:shd w:fill="F5F6F3"/>
          </w:tcPr>
          <w:p>
            <w:pPr>
              <w:spacing w:after="0" w:line="259" w:lineRule="auto"/>
              <w:jc w:val="left"/>
            </w:pPr>
            <w:r>
              <w:rPr>
                <w:rFonts w:ascii="DM Sans" w:hAnsi="DM Sans" w:eastAsia="DM Sans" w:cs="DM Sans"/>
                <w:b w:val="0"/>
                <w:color w:val="000000"/>
                <w:sz w:val="22"/>
              </w:rPr>
              <w:t>Complete season</w:t>
            </w:r>
          </w:p>
        </w:tc>
        <w:tc>
          <w:tcPr>
            <w:tcW w:type="dxa" w:w="2304"/>
            <w:vAlign w:val="center"/>
            <w:shd w:fill="F5F6F3"/>
          </w:tcPr>
          <w:p>
            <w:pPr>
              <w:spacing w:after="0" w:line="259" w:lineRule="auto"/>
              <w:jc w:val="right"/>
            </w:pPr>
            <w:r>
              <w:rPr>
                <w:rFonts w:ascii="DM Sans" w:hAnsi="DM Sans" w:eastAsia="DM Sans" w:cs="DM Sans"/>
                <w:b w:val="0"/>
                <w:color w:val="000000"/>
                <w:sz w:val="22"/>
              </w:rPr>
              <w:t>$12,500.00</w:t>
            </w:r>
          </w:p>
        </w:tc>
        <w:tc>
          <w:tcPr>
            <w:tcW w:type="dxa" w:w="1800"/>
            <w:vAlign w:val="center"/>
            <w:shd w:fill="F5F6F3"/>
          </w:tcPr>
          <w:p>
            <w:pPr>
              <w:spacing w:after="0" w:line="259" w:lineRule="auto"/>
              <w:jc w:val="right"/>
            </w:pPr>
            <w:r>
              <w:rPr>
                <w:rFonts w:ascii="DM Sans" w:hAnsi="DM Sans" w:eastAsia="DM Sans" w:cs="DM Sans"/>
                <w:b w:val="0"/>
                <w:color w:val="000000"/>
                <w:sz w:val="22"/>
              </w:rPr>
              <w:t>$1,625.00</w:t>
            </w:r>
          </w:p>
        </w:tc>
        <w:tc>
          <w:tcPr>
            <w:tcW w:type="dxa" w:w="2880"/>
            <w:vAlign w:val="center"/>
            <w:shd w:fill="F5F6F3"/>
          </w:tcPr>
          <w:p>
            <w:pPr>
              <w:spacing w:after="0" w:line="259" w:lineRule="auto"/>
              <w:jc w:val="right"/>
            </w:pPr>
            <w:r>
              <w:rPr>
                <w:rFonts w:ascii="DM Sans" w:hAnsi="DM Sans" w:eastAsia="DM Sans" w:cs="DM Sans"/>
                <w:b w:val="0"/>
                <w:color w:val="000000"/>
                <w:sz w:val="22"/>
              </w:rPr>
              <w:t>$14,125.00</w:t>
            </w:r>
          </w:p>
        </w:tc>
      </w:tr>
    </w:tbl>
    <w:p>
      <w:pPr>
        <w:keepNext w:val="0"/>
        <w:spacing w:after="40" w:before="0"/>
      </w:pPr>
      <w:r>
        <w:rPr>
          <w:rFonts w:ascii="DM Sans" w:hAnsi="DM Sans" w:eastAsia="DM Sans" w:cs="DM Sans"/>
          <w:b w:val="0"/>
          <w:color w:val="000000"/>
          <w:sz w:val="4"/>
        </w:rPr>
      </w:r>
    </w:p>
    <w:p>
      <w:pPr>
        <w:keepNext w:val="0"/>
        <w:spacing w:after="140" w:before="0"/>
      </w:pPr>
      <w:r>
        <w:rPr>
          <w:rFonts w:ascii="DM Sans" w:hAnsi="DM Sans" w:eastAsia="DM Sans" w:cs="DM Sans"/>
          <w:b/>
          <w:color w:val="000000"/>
          <w:sz w:val="22"/>
        </w:rPr>
        <w:t>Service term: November 15, 2026 to April 15, 2027.</w:t>
      </w:r>
    </w:p>
    <w:p>
      <w:pPr>
        <w:keepNext w:val="0"/>
        <w:spacing w:after="280" w:before="0"/>
      </w:pPr>
      <w:r>
        <w:t>The fixed seasonal charge covers availability and included services throughout the term. No snowfall, visit or material cap applies to included services unless expressly amended in the agreement.</w:t>
      </w:r>
    </w:p>
    <w:p>
      <w:pPr>
        <w:pStyle w:val="Heading2"/>
      </w:pPr>
      <w:r>
        <w:t>Your payment schedule</w:t>
      </w:r>
    </w:p>
    <w:p>
      <w:pPr>
        <w:keepNext w:val="0"/>
        <w:spacing w:after="200" w:before="0"/>
      </w:pPr>
      <w:r>
        <w:t>Each invoice is due 15 calendar days after issue. The final installment covers service through April 15, 2027.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2160"/>
        <w:gridCol w:w="2160"/>
        <w:gridCol w:w="2016"/>
        <w:gridCol w:w="1584"/>
        <w:gridCol w:w="2304"/>
      </w:tblGrid>
      <w:tr>
        <w:trPr>
          <w:tblHeader/>
          <w:cantSplit/>
        </w:trPr>
        <w:tc>
          <w:tcPr>
            <w:tcW w:type="dxa" w:w="2160"/>
            <w:vAlign w:val="center"/>
            <w:shd w:fill="252725"/>
          </w:tcPr>
          <w:p>
            <w:pPr>
              <w:spacing w:after="0" w:line="259" w:lineRule="auto"/>
              <w:jc w:val="left"/>
            </w:pPr>
            <w:r>
              <w:rPr>
                <w:rFonts w:ascii="DM Sans" w:hAnsi="DM Sans" w:eastAsia="DM Sans" w:cs="DM Sans"/>
                <w:b/>
                <w:color w:val="FFFFFF"/>
                <w:sz w:val="20"/>
              </w:rPr>
              <w:t>Invoice date</w:t>
            </w:r>
          </w:p>
        </w:tc>
        <w:tc>
          <w:tcPr>
            <w:tcW w:type="dxa" w:w="2160"/>
            <w:vAlign w:val="center"/>
            <w:shd w:fill="252725"/>
          </w:tcPr>
          <w:p>
            <w:pPr>
              <w:spacing w:after="0" w:line="259" w:lineRule="auto"/>
              <w:jc w:val="left"/>
            </w:pPr>
            <w:r>
              <w:rPr>
                <w:rFonts w:ascii="DM Sans" w:hAnsi="DM Sans" w:eastAsia="DM Sans" w:cs="DM Sans"/>
                <w:b/>
                <w:color w:val="FFFFFF"/>
                <w:sz w:val="20"/>
              </w:rPr>
              <w:t>Due date</w:t>
            </w:r>
          </w:p>
        </w:tc>
        <w:tc>
          <w:tcPr>
            <w:tcW w:type="dxa" w:w="2016"/>
            <w:vAlign w:val="center"/>
            <w:shd w:fill="252725"/>
          </w:tcPr>
          <w:p>
            <w:pPr>
              <w:spacing w:after="0" w:line="259" w:lineRule="auto"/>
              <w:jc w:val="right"/>
            </w:pPr>
            <w:r>
              <w:rPr>
                <w:rFonts w:ascii="DM Sans" w:hAnsi="DM Sans" w:eastAsia="DM Sans" w:cs="DM Sans"/>
                <w:b/>
                <w:color w:val="FFFFFF"/>
                <w:sz w:val="20"/>
              </w:rPr>
              <w:t>Before HST</w:t>
            </w:r>
          </w:p>
        </w:tc>
        <w:tc>
          <w:tcPr>
            <w:tcW w:type="dxa" w:w="1584"/>
            <w:vAlign w:val="center"/>
            <w:shd w:fill="252725"/>
          </w:tcPr>
          <w:p>
            <w:pPr>
              <w:spacing w:after="0" w:line="259" w:lineRule="auto"/>
              <w:jc w:val="right"/>
            </w:pPr>
            <w:r>
              <w:rPr>
                <w:rFonts w:ascii="DM Sans" w:hAnsi="DM Sans" w:eastAsia="DM Sans" w:cs="DM Sans"/>
                <w:b/>
                <w:color w:val="FFFFFF"/>
                <w:sz w:val="20"/>
              </w:rPr>
              <w:t>HST</w:t>
            </w:r>
          </w:p>
        </w:tc>
        <w:tc>
          <w:tcPr>
            <w:tcW w:type="dxa" w:w="2304"/>
            <w:vAlign w:val="center"/>
            <w:shd w:fill="252725"/>
          </w:tcPr>
          <w:p>
            <w:pPr>
              <w:spacing w:after="0" w:line="259" w:lineRule="auto"/>
              <w:jc w:val="right"/>
            </w:pPr>
            <w:r>
              <w:rPr>
                <w:rFonts w:ascii="DM Sans" w:hAnsi="DM Sans" w:eastAsia="DM Sans" w:cs="DM Sans"/>
                <w:b/>
                <w:color w:val="FFFFFF"/>
                <w:sz w:val="20"/>
              </w:rPr>
              <w:t>Total</w:t>
            </w:r>
          </w:p>
        </w:tc>
      </w:tr>
      <w:tr>
        <w:trPr>
          <w:cantSplit/>
        </w:trPr>
        <w:tc>
          <w:tcPr>
            <w:tcW w:type="dxa" w:w="2160"/>
            <w:vAlign w:val="center"/>
            <w:shd w:fill="FFFFFF"/>
          </w:tcPr>
          <w:p>
            <w:pPr>
              <w:spacing w:after="0" w:line="259" w:lineRule="auto"/>
              <w:jc w:val="left"/>
            </w:pPr>
            <w:r>
              <w:rPr>
                <w:rFonts w:ascii="DM Sans" w:hAnsi="DM Sans" w:eastAsia="DM Sans" w:cs="DM Sans"/>
                <w:b w:val="0"/>
                <w:color w:val="000000"/>
                <w:sz w:val="20"/>
              </w:rPr>
              <w:t>Nov 15, 2026</w:t>
            </w:r>
          </w:p>
        </w:tc>
        <w:tc>
          <w:tcPr>
            <w:tcW w:type="dxa" w:w="2160"/>
            <w:vAlign w:val="center"/>
            <w:shd w:fill="FFFFFF"/>
          </w:tcPr>
          <w:p>
            <w:pPr>
              <w:spacing w:after="0" w:line="259" w:lineRule="auto"/>
              <w:jc w:val="left"/>
            </w:pPr>
            <w:r>
              <w:rPr>
                <w:rFonts w:ascii="DM Sans" w:hAnsi="DM Sans" w:eastAsia="DM Sans" w:cs="DM Sans"/>
                <w:b w:val="0"/>
                <w:color w:val="000000"/>
                <w:sz w:val="20"/>
              </w:rPr>
              <w:t>Nov 30, 2026</w:t>
            </w:r>
          </w:p>
        </w:tc>
        <w:tc>
          <w:tcPr>
            <w:tcW w:type="dxa" w:w="2016"/>
            <w:vAlign w:val="center"/>
            <w:shd w:fill="FFFFFF"/>
          </w:tcPr>
          <w:p>
            <w:pPr>
              <w:spacing w:after="0" w:line="259" w:lineRule="auto"/>
              <w:jc w:val="right"/>
            </w:pPr>
            <w:r>
              <w:rPr>
                <w:rFonts w:ascii="DM Sans" w:hAnsi="DM Sans" w:eastAsia="DM Sans" w:cs="DM Sans"/>
                <w:b w:val="0"/>
                <w:color w:val="000000"/>
                <w:sz w:val="20"/>
              </w:rPr>
              <w:t>$2,500.00</w:t>
            </w:r>
          </w:p>
        </w:tc>
        <w:tc>
          <w:tcPr>
            <w:tcW w:type="dxa" w:w="1584"/>
            <w:vAlign w:val="center"/>
            <w:shd w:fill="FFFFFF"/>
          </w:tcPr>
          <w:p>
            <w:pPr>
              <w:spacing w:after="0" w:line="259" w:lineRule="auto"/>
              <w:jc w:val="right"/>
            </w:pPr>
            <w:r>
              <w:rPr>
                <w:rFonts w:ascii="DM Sans" w:hAnsi="DM Sans" w:eastAsia="DM Sans" w:cs="DM Sans"/>
                <w:b w:val="0"/>
                <w:color w:val="000000"/>
                <w:sz w:val="20"/>
              </w:rPr>
              <w:t>$325.00</w:t>
            </w:r>
          </w:p>
        </w:tc>
        <w:tc>
          <w:tcPr>
            <w:tcW w:type="dxa" w:w="2304"/>
            <w:vAlign w:val="center"/>
            <w:shd w:fill="FFFFFF"/>
          </w:tcPr>
          <w:p>
            <w:pPr>
              <w:spacing w:after="0" w:line="259" w:lineRule="auto"/>
              <w:jc w:val="right"/>
            </w:pPr>
            <w:r>
              <w:rPr>
                <w:rFonts w:ascii="DM Sans" w:hAnsi="DM Sans" w:eastAsia="DM Sans" w:cs="DM Sans"/>
                <w:b w:val="0"/>
                <w:color w:val="000000"/>
                <w:sz w:val="20"/>
              </w:rPr>
              <w:t>$2,825.00</w:t>
            </w:r>
          </w:p>
        </w:tc>
      </w:tr>
      <w:tr>
        <w:trPr>
          <w:cantSplit/>
        </w:trPr>
        <w:tc>
          <w:tcPr>
            <w:tcW w:type="dxa" w:w="2160"/>
            <w:vAlign w:val="center"/>
            <w:shd w:fill="F5F6F3"/>
          </w:tcPr>
          <w:p>
            <w:pPr>
              <w:spacing w:after="0" w:line="259" w:lineRule="auto"/>
              <w:jc w:val="left"/>
            </w:pPr>
            <w:r>
              <w:rPr>
                <w:rFonts w:ascii="DM Sans" w:hAnsi="DM Sans" w:eastAsia="DM Sans" w:cs="DM Sans"/>
                <w:b w:val="0"/>
                <w:color w:val="000000"/>
                <w:sz w:val="20"/>
              </w:rPr>
              <w:t>Dec 15, 2026</w:t>
            </w:r>
          </w:p>
        </w:tc>
        <w:tc>
          <w:tcPr>
            <w:tcW w:type="dxa" w:w="2160"/>
            <w:vAlign w:val="center"/>
            <w:shd w:fill="F5F6F3"/>
          </w:tcPr>
          <w:p>
            <w:pPr>
              <w:spacing w:after="0" w:line="259" w:lineRule="auto"/>
              <w:jc w:val="left"/>
            </w:pPr>
            <w:r>
              <w:rPr>
                <w:rFonts w:ascii="DM Sans" w:hAnsi="DM Sans" w:eastAsia="DM Sans" w:cs="DM Sans"/>
                <w:b w:val="0"/>
                <w:color w:val="000000"/>
                <w:sz w:val="20"/>
              </w:rPr>
              <w:t>Dec 30, 2026</w:t>
            </w:r>
          </w:p>
        </w:tc>
        <w:tc>
          <w:tcPr>
            <w:tcW w:type="dxa" w:w="2016"/>
            <w:vAlign w:val="center"/>
            <w:shd w:fill="F5F6F3"/>
          </w:tcPr>
          <w:p>
            <w:pPr>
              <w:spacing w:after="0" w:line="259" w:lineRule="auto"/>
              <w:jc w:val="right"/>
            </w:pPr>
            <w:r>
              <w:rPr>
                <w:rFonts w:ascii="DM Sans" w:hAnsi="DM Sans" w:eastAsia="DM Sans" w:cs="DM Sans"/>
                <w:b w:val="0"/>
                <w:color w:val="000000"/>
                <w:sz w:val="20"/>
              </w:rPr>
              <w:t>$2,500.00</w:t>
            </w:r>
          </w:p>
        </w:tc>
        <w:tc>
          <w:tcPr>
            <w:tcW w:type="dxa" w:w="1584"/>
            <w:vAlign w:val="center"/>
            <w:shd w:fill="F5F6F3"/>
          </w:tcPr>
          <w:p>
            <w:pPr>
              <w:spacing w:after="0" w:line="259" w:lineRule="auto"/>
              <w:jc w:val="right"/>
            </w:pPr>
            <w:r>
              <w:rPr>
                <w:rFonts w:ascii="DM Sans" w:hAnsi="DM Sans" w:eastAsia="DM Sans" w:cs="DM Sans"/>
                <w:b w:val="0"/>
                <w:color w:val="000000"/>
                <w:sz w:val="20"/>
              </w:rPr>
              <w:t>$325.00</w:t>
            </w:r>
          </w:p>
        </w:tc>
        <w:tc>
          <w:tcPr>
            <w:tcW w:type="dxa" w:w="2304"/>
            <w:vAlign w:val="center"/>
            <w:shd w:fill="F5F6F3"/>
          </w:tcPr>
          <w:p>
            <w:pPr>
              <w:spacing w:after="0" w:line="259" w:lineRule="auto"/>
              <w:jc w:val="right"/>
            </w:pPr>
            <w:r>
              <w:rPr>
                <w:rFonts w:ascii="DM Sans" w:hAnsi="DM Sans" w:eastAsia="DM Sans" w:cs="DM Sans"/>
                <w:b w:val="0"/>
                <w:color w:val="000000"/>
                <w:sz w:val="20"/>
              </w:rPr>
              <w:t>$2,825.00</w:t>
            </w:r>
          </w:p>
        </w:tc>
      </w:tr>
      <w:tr>
        <w:trPr>
          <w:cantSplit/>
        </w:trPr>
        <w:tc>
          <w:tcPr>
            <w:tcW w:type="dxa" w:w="2160"/>
            <w:vAlign w:val="center"/>
            <w:shd w:fill="FFFFFF"/>
          </w:tcPr>
          <w:p>
            <w:pPr>
              <w:spacing w:after="0" w:line="259" w:lineRule="auto"/>
              <w:jc w:val="left"/>
            </w:pPr>
            <w:r>
              <w:rPr>
                <w:rFonts w:ascii="DM Sans" w:hAnsi="DM Sans" w:eastAsia="DM Sans" w:cs="DM Sans"/>
                <w:b w:val="0"/>
                <w:color w:val="000000"/>
                <w:sz w:val="20"/>
              </w:rPr>
              <w:t>Jan 15, 2027</w:t>
            </w:r>
          </w:p>
        </w:tc>
        <w:tc>
          <w:tcPr>
            <w:tcW w:type="dxa" w:w="2160"/>
            <w:vAlign w:val="center"/>
            <w:shd w:fill="FFFFFF"/>
          </w:tcPr>
          <w:p>
            <w:pPr>
              <w:spacing w:after="0" w:line="259" w:lineRule="auto"/>
              <w:jc w:val="left"/>
            </w:pPr>
            <w:r>
              <w:rPr>
                <w:rFonts w:ascii="DM Sans" w:hAnsi="DM Sans" w:eastAsia="DM Sans" w:cs="DM Sans"/>
                <w:b w:val="0"/>
                <w:color w:val="000000"/>
                <w:sz w:val="20"/>
              </w:rPr>
              <w:t>Jan 30, 2027</w:t>
            </w:r>
          </w:p>
        </w:tc>
        <w:tc>
          <w:tcPr>
            <w:tcW w:type="dxa" w:w="2016"/>
            <w:vAlign w:val="center"/>
            <w:shd w:fill="FFFFFF"/>
          </w:tcPr>
          <w:p>
            <w:pPr>
              <w:spacing w:after="0" w:line="259" w:lineRule="auto"/>
              <w:jc w:val="right"/>
            </w:pPr>
            <w:r>
              <w:rPr>
                <w:rFonts w:ascii="DM Sans" w:hAnsi="DM Sans" w:eastAsia="DM Sans" w:cs="DM Sans"/>
                <w:b w:val="0"/>
                <w:color w:val="000000"/>
                <w:sz w:val="20"/>
              </w:rPr>
              <w:t>$2,500.00</w:t>
            </w:r>
          </w:p>
        </w:tc>
        <w:tc>
          <w:tcPr>
            <w:tcW w:type="dxa" w:w="1584"/>
            <w:vAlign w:val="center"/>
            <w:shd w:fill="FFFFFF"/>
          </w:tcPr>
          <w:p>
            <w:pPr>
              <w:spacing w:after="0" w:line="259" w:lineRule="auto"/>
              <w:jc w:val="right"/>
            </w:pPr>
            <w:r>
              <w:rPr>
                <w:rFonts w:ascii="DM Sans" w:hAnsi="DM Sans" w:eastAsia="DM Sans" w:cs="DM Sans"/>
                <w:b w:val="0"/>
                <w:color w:val="000000"/>
                <w:sz w:val="20"/>
              </w:rPr>
              <w:t>$325.00</w:t>
            </w:r>
          </w:p>
        </w:tc>
        <w:tc>
          <w:tcPr>
            <w:tcW w:type="dxa" w:w="2304"/>
            <w:vAlign w:val="center"/>
            <w:shd w:fill="FFFFFF"/>
          </w:tcPr>
          <w:p>
            <w:pPr>
              <w:spacing w:after="0" w:line="259" w:lineRule="auto"/>
              <w:jc w:val="right"/>
            </w:pPr>
            <w:r>
              <w:rPr>
                <w:rFonts w:ascii="DM Sans" w:hAnsi="DM Sans" w:eastAsia="DM Sans" w:cs="DM Sans"/>
                <w:b w:val="0"/>
                <w:color w:val="000000"/>
                <w:sz w:val="20"/>
              </w:rPr>
              <w:t>$2,825.00</w:t>
            </w:r>
          </w:p>
        </w:tc>
      </w:tr>
      <w:tr>
        <w:trPr>
          <w:cantSplit/>
        </w:trPr>
        <w:tc>
          <w:tcPr>
            <w:tcW w:type="dxa" w:w="2160"/>
            <w:vAlign w:val="center"/>
            <w:shd w:fill="F5F6F3"/>
          </w:tcPr>
          <w:p>
            <w:pPr>
              <w:spacing w:after="0" w:line="259" w:lineRule="auto"/>
              <w:jc w:val="left"/>
            </w:pPr>
            <w:r>
              <w:rPr>
                <w:rFonts w:ascii="DM Sans" w:hAnsi="DM Sans" w:eastAsia="DM Sans" w:cs="DM Sans"/>
                <w:b w:val="0"/>
                <w:color w:val="000000"/>
                <w:sz w:val="20"/>
              </w:rPr>
              <w:t>Feb 15, 2027</w:t>
            </w:r>
          </w:p>
        </w:tc>
        <w:tc>
          <w:tcPr>
            <w:tcW w:type="dxa" w:w="2160"/>
            <w:vAlign w:val="center"/>
            <w:shd w:fill="F5F6F3"/>
          </w:tcPr>
          <w:p>
            <w:pPr>
              <w:spacing w:after="0" w:line="259" w:lineRule="auto"/>
              <w:jc w:val="left"/>
            </w:pPr>
            <w:r>
              <w:rPr>
                <w:rFonts w:ascii="DM Sans" w:hAnsi="DM Sans" w:eastAsia="DM Sans" w:cs="DM Sans"/>
                <w:b w:val="0"/>
                <w:color w:val="000000"/>
                <w:sz w:val="20"/>
              </w:rPr>
              <w:t>Mar 2, 2027</w:t>
            </w:r>
          </w:p>
        </w:tc>
        <w:tc>
          <w:tcPr>
            <w:tcW w:type="dxa" w:w="2016"/>
            <w:vAlign w:val="center"/>
            <w:shd w:fill="F5F6F3"/>
          </w:tcPr>
          <w:p>
            <w:pPr>
              <w:spacing w:after="0" w:line="259" w:lineRule="auto"/>
              <w:jc w:val="right"/>
            </w:pPr>
            <w:r>
              <w:rPr>
                <w:rFonts w:ascii="DM Sans" w:hAnsi="DM Sans" w:eastAsia="DM Sans" w:cs="DM Sans"/>
                <w:b w:val="0"/>
                <w:color w:val="000000"/>
                <w:sz w:val="20"/>
              </w:rPr>
              <w:t>$2,500.00</w:t>
            </w:r>
          </w:p>
        </w:tc>
        <w:tc>
          <w:tcPr>
            <w:tcW w:type="dxa" w:w="1584"/>
            <w:vAlign w:val="center"/>
            <w:shd w:fill="F5F6F3"/>
          </w:tcPr>
          <w:p>
            <w:pPr>
              <w:spacing w:after="0" w:line="259" w:lineRule="auto"/>
              <w:jc w:val="right"/>
            </w:pPr>
            <w:r>
              <w:rPr>
                <w:rFonts w:ascii="DM Sans" w:hAnsi="DM Sans" w:eastAsia="DM Sans" w:cs="DM Sans"/>
                <w:b w:val="0"/>
                <w:color w:val="000000"/>
                <w:sz w:val="20"/>
              </w:rPr>
              <w:t>$325.00</w:t>
            </w:r>
          </w:p>
        </w:tc>
        <w:tc>
          <w:tcPr>
            <w:tcW w:type="dxa" w:w="2304"/>
            <w:vAlign w:val="center"/>
            <w:shd w:fill="F5F6F3"/>
          </w:tcPr>
          <w:p>
            <w:pPr>
              <w:spacing w:after="0" w:line="259" w:lineRule="auto"/>
              <w:jc w:val="right"/>
            </w:pPr>
            <w:r>
              <w:rPr>
                <w:rFonts w:ascii="DM Sans" w:hAnsi="DM Sans" w:eastAsia="DM Sans" w:cs="DM Sans"/>
                <w:b w:val="0"/>
                <w:color w:val="000000"/>
                <w:sz w:val="20"/>
              </w:rPr>
              <w:t>$2,825.00</w:t>
            </w:r>
          </w:p>
        </w:tc>
      </w:tr>
      <w:tr>
        <w:trPr>
          <w:cantSplit/>
        </w:trPr>
        <w:tc>
          <w:tcPr>
            <w:tcW w:type="dxa" w:w="2160"/>
            <w:vAlign w:val="center"/>
            <w:shd w:fill="FFFFFF"/>
          </w:tcPr>
          <w:p>
            <w:pPr>
              <w:spacing w:after="0" w:line="259" w:lineRule="auto"/>
              <w:jc w:val="left"/>
            </w:pPr>
            <w:r>
              <w:rPr>
                <w:rFonts w:ascii="DM Sans" w:hAnsi="DM Sans" w:eastAsia="DM Sans" w:cs="DM Sans"/>
                <w:b w:val="0"/>
                <w:color w:val="000000"/>
                <w:sz w:val="20"/>
              </w:rPr>
              <w:t>Mar 15, 2027</w:t>
            </w:r>
          </w:p>
        </w:tc>
        <w:tc>
          <w:tcPr>
            <w:tcW w:type="dxa" w:w="2160"/>
            <w:vAlign w:val="center"/>
            <w:shd w:fill="FFFFFF"/>
          </w:tcPr>
          <w:p>
            <w:pPr>
              <w:spacing w:after="0" w:line="259" w:lineRule="auto"/>
              <w:jc w:val="left"/>
            </w:pPr>
            <w:r>
              <w:rPr>
                <w:rFonts w:ascii="DM Sans" w:hAnsi="DM Sans" w:eastAsia="DM Sans" w:cs="DM Sans"/>
                <w:b w:val="0"/>
                <w:color w:val="000000"/>
                <w:sz w:val="20"/>
              </w:rPr>
              <w:t>Mar 30, 2027</w:t>
            </w:r>
          </w:p>
        </w:tc>
        <w:tc>
          <w:tcPr>
            <w:tcW w:type="dxa" w:w="2016"/>
            <w:vAlign w:val="center"/>
            <w:shd w:fill="FFFFFF"/>
          </w:tcPr>
          <w:p>
            <w:pPr>
              <w:spacing w:after="0" w:line="259" w:lineRule="auto"/>
              <w:jc w:val="right"/>
            </w:pPr>
            <w:r>
              <w:rPr>
                <w:rFonts w:ascii="DM Sans" w:hAnsi="DM Sans" w:eastAsia="DM Sans" w:cs="DM Sans"/>
                <w:b w:val="0"/>
                <w:color w:val="000000"/>
                <w:sz w:val="20"/>
              </w:rPr>
              <w:t>$2,500.00</w:t>
            </w:r>
          </w:p>
        </w:tc>
        <w:tc>
          <w:tcPr>
            <w:tcW w:type="dxa" w:w="1584"/>
            <w:vAlign w:val="center"/>
            <w:shd w:fill="FFFFFF"/>
          </w:tcPr>
          <w:p>
            <w:pPr>
              <w:spacing w:after="0" w:line="259" w:lineRule="auto"/>
              <w:jc w:val="right"/>
            </w:pPr>
            <w:r>
              <w:rPr>
                <w:rFonts w:ascii="DM Sans" w:hAnsi="DM Sans" w:eastAsia="DM Sans" w:cs="DM Sans"/>
                <w:b w:val="0"/>
                <w:color w:val="000000"/>
                <w:sz w:val="20"/>
              </w:rPr>
              <w:t>$325.00</w:t>
            </w:r>
          </w:p>
        </w:tc>
        <w:tc>
          <w:tcPr>
            <w:tcW w:type="dxa" w:w="2304"/>
            <w:vAlign w:val="center"/>
            <w:shd w:fill="FFFFFF"/>
          </w:tcPr>
          <w:p>
            <w:pPr>
              <w:spacing w:after="0" w:line="259" w:lineRule="auto"/>
              <w:jc w:val="right"/>
            </w:pPr>
            <w:r>
              <w:rPr>
                <w:rFonts w:ascii="DM Sans" w:hAnsi="DM Sans" w:eastAsia="DM Sans" w:cs="DM Sans"/>
                <w:b w:val="0"/>
                <w:color w:val="000000"/>
                <w:sz w:val="20"/>
              </w:rPr>
              <w:t>$2,825.00</w:t>
            </w:r>
          </w:p>
        </w:tc>
      </w:tr>
      <w:tr>
        <w:trPr>
          <w:cantSplit/>
        </w:trPr>
        <w:tc>
          <w:tcPr>
            <w:tcW w:type="dxa" w:w="2160"/>
            <w:vAlign w:val="center"/>
            <w:shd w:fill="F5F6F3"/>
            <w:shd w:fill="ECEEE8"/>
          </w:tcPr>
          <w:p>
            <w:pPr>
              <w:spacing w:after="0" w:line="259" w:lineRule="auto"/>
              <w:jc w:val="left"/>
            </w:pPr>
            <w:r>
              <w:rPr>
                <w:rFonts w:ascii="DM Sans" w:hAnsi="DM Sans" w:eastAsia="DM Sans" w:cs="DM Sans"/>
                <w:b/>
                <w:color w:val="000000"/>
                <w:sz w:val="20"/>
              </w:rPr>
              <w:t>Seasonal total</w:t>
            </w:r>
          </w:p>
        </w:tc>
        <w:tc>
          <w:tcPr>
            <w:tcW w:type="dxa" w:w="2160"/>
            <w:vAlign w:val="center"/>
            <w:shd w:fill="F5F6F3"/>
            <w:shd w:fill="ECEEE8"/>
          </w:tcPr>
          <w:p>
            <w:pPr>
              <w:spacing w:after="0" w:line="259" w:lineRule="auto"/>
              <w:jc w:val="left"/>
            </w:pPr>
            <w:r>
              <w:rPr>
                <w:rFonts w:ascii="DM Sans" w:hAnsi="DM Sans" w:eastAsia="DM Sans" w:cs="DM Sans"/>
                <w:b/>
                <w:color w:val="000000"/>
                <w:sz w:val="20"/>
              </w:rPr>
            </w:r>
          </w:p>
        </w:tc>
        <w:tc>
          <w:tcPr>
            <w:tcW w:type="dxa" w:w="2016"/>
            <w:vAlign w:val="center"/>
            <w:shd w:fill="F5F6F3"/>
            <w:shd w:fill="ECEEE8"/>
          </w:tcPr>
          <w:p>
            <w:pPr>
              <w:spacing w:after="0" w:line="259" w:lineRule="auto"/>
              <w:jc w:val="right"/>
            </w:pPr>
            <w:r>
              <w:rPr>
                <w:rFonts w:ascii="DM Sans" w:hAnsi="DM Sans" w:eastAsia="DM Sans" w:cs="DM Sans"/>
                <w:b/>
                <w:color w:val="000000"/>
                <w:sz w:val="20"/>
              </w:rPr>
              <w:t>$12,500.00</w:t>
            </w:r>
          </w:p>
        </w:tc>
        <w:tc>
          <w:tcPr>
            <w:tcW w:type="dxa" w:w="1584"/>
            <w:vAlign w:val="center"/>
            <w:shd w:fill="F5F6F3"/>
            <w:shd w:fill="ECEEE8"/>
          </w:tcPr>
          <w:p>
            <w:pPr>
              <w:spacing w:after="0" w:line="259" w:lineRule="auto"/>
              <w:jc w:val="right"/>
            </w:pPr>
            <w:r>
              <w:rPr>
                <w:rFonts w:ascii="DM Sans" w:hAnsi="DM Sans" w:eastAsia="DM Sans" w:cs="DM Sans"/>
                <w:b/>
                <w:color w:val="000000"/>
                <w:sz w:val="20"/>
              </w:rPr>
              <w:t>$1,625.00</w:t>
            </w:r>
          </w:p>
        </w:tc>
        <w:tc>
          <w:tcPr>
            <w:tcW w:type="dxa" w:w="2304"/>
            <w:vAlign w:val="center"/>
            <w:shd w:fill="F5F6F3"/>
            <w:shd w:fill="ECEEE8"/>
          </w:tcPr>
          <w:p>
            <w:pPr>
              <w:spacing w:after="0" w:line="259" w:lineRule="auto"/>
              <w:jc w:val="right"/>
            </w:pPr>
            <w:r>
              <w:rPr>
                <w:rFonts w:ascii="DM Sans" w:hAnsi="DM Sans" w:eastAsia="DM Sans" w:cs="DM Sans"/>
                <w:b/>
                <w:color w:val="000000"/>
                <w:sz w:val="20"/>
              </w:rPr>
              <w:t>$14,125.00</w:t>
            </w:r>
          </w:p>
        </w:tc>
      </w:tr>
    </w:tbl>
    <w:p>
      <w:pPr>
        <w:keepNext w:val="0"/>
        <w:spacing w:after="40" w:before="0"/>
      </w:pPr>
      <w:r>
        <w:rPr>
          <w:rFonts w:ascii="DM Sans" w:hAnsi="DM Sans" w:eastAsia="DM Sans" w:cs="DM Sans"/>
          <w:b w:val="0"/>
          <w:color w:val="000000"/>
          <w:sz w:val="4"/>
        </w:rPr>
      </w:r>
    </w:p>
    <w:p>
      <w:pPr>
        <w:pStyle w:val="Heading2"/>
      </w:pPr>
      <w:r>
        <w:t>Payment methods</w:t>
      </w:r>
    </w:p>
    <w:p>
      <w:pPr>
        <w:keepNext w:val="0"/>
        <w:spacing w:after="140" w:before="0"/>
      </w:pPr>
      <w:r>
        <w:t>Select your payment method in the agreement: post-dated cheques, wire transfer or e-transfer. Payment instructions and the invoice reference will be provided with your invoice. Selecting a method does not change the due date.</w:t>
      </w:r>
    </w:p>
    <w:p>
      <w:pPr>
        <w:keepNext w:val="0"/>
        <w:spacing w:after="0" w:before="0"/>
      </w:pPr>
      <w:r>
        <w:rPr>
          <w:rFonts w:ascii="DM Sans" w:hAnsi="DM Sans" w:eastAsia="DM Sans" w:cs="DM Sans"/>
          <w:b w:val="0"/>
          <w:color w:val="606661"/>
          <w:sz w:val="22"/>
        </w:rPr>
        <w:t>All prices are in Canadian dollars. Ontario HST at 13% is additional to the quoted base price.</w:t>
      </w:r>
    </w:p>
    <w:p>
      <w:pPr>
        <w:keepNext/>
        <w:pageBreakBefore/>
        <w:spacing w:after="160" w:before="0"/>
      </w:pPr>
      <w:r>
        <w:rPr>
          <w:rFonts w:ascii="DM Sans" w:hAnsi="DM Sans" w:eastAsia="DM Sans" w:cs="DM Sans"/>
          <w:b/>
          <w:color w:val="F04425"/>
          <w:sz w:val="19"/>
        </w:rPr>
        <w:t>ADDITIONAL SERVICES AND YOUR AGREEMENT</w:t>
      </w:r>
    </w:p>
    <w:p>
      <w:pPr>
        <w:pStyle w:val="Heading1"/>
      </w:pPr>
      <w:r>
        <w:t>Complete service details</w:t>
      </w:r>
    </w:p>
    <w:p>
      <w:pPr>
        <w:keepNext w:val="0"/>
        <w:spacing w:after="240" w:before="0"/>
      </w:pPr>
      <w:r>
        <w:t>Additional services require prior written approval of scope and price, or an agreed calculation method. HST is additional.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left w:w="105" w:type="dxa"/>
          <w:bottom w:w="105" w:type="dxa"/>
          <w:right w:w="105" w:type="dxa"/>
        </w:tblCellMar>
      </w:tblPr>
      <w:tblGrid>
        <w:gridCol w:w="3456"/>
        <w:gridCol w:w="2448"/>
        <w:gridCol w:w="4320"/>
      </w:tblGrid>
      <w:tr>
        <w:trPr>
          <w:tblHeader/>
          <w:cantSplit/>
        </w:trPr>
        <w:tc>
          <w:tcPr>
            <w:tcW w:type="dxa" w:w="3456"/>
            <w:vAlign w:val="center"/>
            <w:shd w:fill="252725"/>
          </w:tcPr>
          <w:p>
            <w:pPr>
              <w:spacing w:after="0" w:line="259" w:lineRule="auto"/>
              <w:jc w:val="left"/>
            </w:pPr>
            <w:r>
              <w:rPr>
                <w:rFonts w:ascii="DM Sans" w:hAnsi="DM Sans" w:eastAsia="DM Sans" w:cs="DM Sans"/>
                <w:b/>
                <w:color w:val="FFFFFF"/>
                <w:sz w:val="20"/>
              </w:rPr>
              <w:t>Additional service</w:t>
            </w:r>
          </w:p>
        </w:tc>
        <w:tc>
          <w:tcPr>
            <w:tcW w:type="dxa" w:w="2448"/>
            <w:vAlign w:val="center"/>
            <w:shd w:fill="252725"/>
          </w:tcPr>
          <w:p>
            <w:pPr>
              <w:spacing w:after="0" w:line="259" w:lineRule="auto"/>
              <w:jc w:val="left"/>
            </w:pPr>
            <w:r>
              <w:rPr>
                <w:rFonts w:ascii="DM Sans" w:hAnsi="DM Sans" w:eastAsia="DM Sans" w:cs="DM Sans"/>
                <w:b/>
                <w:color w:val="FFFFFF"/>
                <w:sz w:val="20"/>
              </w:rPr>
              <w:t>Rate before HST</w:t>
            </w:r>
          </w:p>
        </w:tc>
        <w:tc>
          <w:tcPr>
            <w:tcW w:type="dxa" w:w="4320"/>
            <w:vAlign w:val="center"/>
            <w:shd w:fill="252725"/>
          </w:tcPr>
          <w:p>
            <w:pPr>
              <w:spacing w:after="0" w:line="259" w:lineRule="auto"/>
              <w:jc w:val="left"/>
            </w:pPr>
            <w:r>
              <w:rPr>
                <w:rFonts w:ascii="DM Sans" w:hAnsi="DM Sans" w:eastAsia="DM Sans" w:cs="DM Sans"/>
                <w:b/>
                <w:color w:val="FFFFFF"/>
                <w:sz w:val="20"/>
              </w:rPr>
              <w:t>Conditions</w:t>
            </w:r>
          </w:p>
        </w:tc>
      </w:tr>
      <w:tr>
        <w:trPr>
          <w:cantSplit/>
        </w:trPr>
        <w:tc>
          <w:tcPr>
            <w:tcW w:type="dxa" w:w="3456"/>
            <w:vAlign w:val="center"/>
            <w:shd w:fill="FFFFFF"/>
          </w:tcPr>
          <w:p>
            <w:pPr>
              <w:spacing w:after="0" w:line="259" w:lineRule="auto"/>
              <w:jc w:val="left"/>
            </w:pPr>
            <w:r>
              <w:rPr>
                <w:rFonts w:ascii="DM Sans" w:hAnsi="DM Sans" w:eastAsia="DM Sans" w:cs="DM Sans"/>
                <w:b w:val="0"/>
                <w:color w:val="000000"/>
                <w:sz w:val="20"/>
              </w:rPr>
              <w:t>Snow hauling</w:t>
              <w:br/>
              <w:t>Approximately 20 cubic yards</w:t>
            </w:r>
          </w:p>
        </w:tc>
        <w:tc>
          <w:tcPr>
            <w:tcW w:type="dxa" w:w="2448"/>
            <w:vAlign w:val="center"/>
            <w:shd w:fill="FFFFFF"/>
          </w:tcPr>
          <w:p>
            <w:pPr>
              <w:spacing w:after="0" w:line="259" w:lineRule="auto"/>
              <w:jc w:val="left"/>
            </w:pPr>
            <w:r>
              <w:rPr>
                <w:rFonts w:ascii="DM Sans" w:hAnsi="DM Sans" w:eastAsia="DM Sans" w:cs="DM Sans"/>
                <w:b w:val="0"/>
                <w:color w:val="000000"/>
                <w:sz w:val="20"/>
              </w:rPr>
              <w:t>$1,500 per load</w:t>
            </w:r>
          </w:p>
        </w:tc>
        <w:tc>
          <w:tcPr>
            <w:tcW w:type="dxa" w:w="4320"/>
            <w:vAlign w:val="center"/>
            <w:shd w:fill="FFFFFF"/>
          </w:tcPr>
          <w:p>
            <w:pPr>
              <w:spacing w:after="0" w:line="259" w:lineRule="auto"/>
              <w:jc w:val="left"/>
            </w:pPr>
            <w:r>
              <w:rPr>
                <w:rFonts w:ascii="DM Sans" w:hAnsi="DM Sans" w:eastAsia="DM Sans" w:cs="DM Sans"/>
                <w:b w:val="0"/>
                <w:color w:val="000000"/>
                <w:sz w:val="20"/>
              </w:rPr>
              <w:t>Subject to availability, safe loading and legal weight limits</w:t>
            </w:r>
          </w:p>
        </w:tc>
      </w:tr>
      <w:tr>
        <w:trPr>
          <w:cantSplit/>
        </w:trPr>
        <w:tc>
          <w:tcPr>
            <w:tcW w:type="dxa" w:w="3456"/>
            <w:vAlign w:val="center"/>
            <w:shd w:fill="F5F6F3"/>
          </w:tcPr>
          <w:p>
            <w:pPr>
              <w:spacing w:after="0" w:line="259" w:lineRule="auto"/>
              <w:jc w:val="left"/>
            </w:pPr>
            <w:r>
              <w:rPr>
                <w:rFonts w:ascii="DM Sans" w:hAnsi="DM Sans" w:eastAsia="DM Sans" w:cs="DM Sans"/>
                <w:b w:val="0"/>
                <w:color w:val="000000"/>
                <w:sz w:val="20"/>
              </w:rPr>
              <w:t>Snow hauling</w:t>
              <w:br/>
              <w:t>Approximately 14 cubic yards</w:t>
            </w:r>
          </w:p>
        </w:tc>
        <w:tc>
          <w:tcPr>
            <w:tcW w:type="dxa" w:w="2448"/>
            <w:vAlign w:val="center"/>
            <w:shd w:fill="F5F6F3"/>
          </w:tcPr>
          <w:p>
            <w:pPr>
              <w:spacing w:after="0" w:line="259" w:lineRule="auto"/>
              <w:jc w:val="left"/>
            </w:pPr>
            <w:r>
              <w:rPr>
                <w:rFonts w:ascii="DM Sans" w:hAnsi="DM Sans" w:eastAsia="DM Sans" w:cs="DM Sans"/>
                <w:b w:val="0"/>
                <w:color w:val="000000"/>
                <w:sz w:val="20"/>
              </w:rPr>
              <w:t>$1,200 per load</w:t>
            </w:r>
          </w:p>
        </w:tc>
        <w:tc>
          <w:tcPr>
            <w:tcW w:type="dxa" w:w="4320"/>
            <w:vAlign w:val="center"/>
            <w:shd w:fill="F5F6F3"/>
          </w:tcPr>
          <w:p>
            <w:pPr>
              <w:spacing w:after="0" w:line="259" w:lineRule="auto"/>
              <w:jc w:val="left"/>
            </w:pPr>
            <w:r>
              <w:rPr>
                <w:rFonts w:ascii="DM Sans" w:hAnsi="DM Sans" w:eastAsia="DM Sans" w:cs="DM Sans"/>
                <w:b w:val="0"/>
                <w:color w:val="000000"/>
                <w:sz w:val="20"/>
              </w:rPr>
              <w:t>Subject to availability, safe loading and legal weight limits</w:t>
            </w:r>
          </w:p>
        </w:tc>
      </w:tr>
      <w:tr>
        <w:trPr>
          <w:cantSplit/>
        </w:trPr>
        <w:tc>
          <w:tcPr>
            <w:tcW w:type="dxa" w:w="3456"/>
            <w:vAlign w:val="center"/>
            <w:shd w:fill="FFFFFF"/>
          </w:tcPr>
          <w:p>
            <w:pPr>
              <w:spacing w:after="0" w:line="259" w:lineRule="auto"/>
              <w:jc w:val="left"/>
            </w:pPr>
            <w:r>
              <w:rPr>
                <w:rFonts w:ascii="DM Sans" w:hAnsi="DM Sans" w:eastAsia="DM Sans" w:cs="DM Sans"/>
                <w:b w:val="0"/>
                <w:color w:val="000000"/>
                <w:sz w:val="20"/>
              </w:rPr>
              <w:t>Snow pile relocation</w:t>
            </w:r>
          </w:p>
        </w:tc>
        <w:tc>
          <w:tcPr>
            <w:tcW w:type="dxa" w:w="2448"/>
            <w:vAlign w:val="center"/>
            <w:shd w:fill="FFFFFF"/>
          </w:tcPr>
          <w:p>
            <w:pPr>
              <w:spacing w:after="0" w:line="259" w:lineRule="auto"/>
              <w:jc w:val="left"/>
            </w:pPr>
            <w:r>
              <w:rPr>
                <w:rFonts w:ascii="DM Sans" w:hAnsi="DM Sans" w:eastAsia="DM Sans" w:cs="DM Sans"/>
                <w:b w:val="0"/>
                <w:color w:val="000000"/>
                <w:sz w:val="20"/>
              </w:rPr>
              <w:t>$475 per hour</w:t>
            </w:r>
          </w:p>
        </w:tc>
        <w:tc>
          <w:tcPr>
            <w:tcW w:type="dxa" w:w="4320"/>
            <w:vAlign w:val="center"/>
            <w:shd w:fill="FFFFFF"/>
          </w:tcPr>
          <w:p>
            <w:pPr>
              <w:spacing w:after="0" w:line="259" w:lineRule="auto"/>
              <w:jc w:val="left"/>
            </w:pPr>
            <w:r>
              <w:rPr>
                <w:rFonts w:ascii="DM Sans" w:hAnsi="DM Sans" w:eastAsia="DM Sans" w:cs="DM Sans"/>
                <w:b w:val="0"/>
                <w:color w:val="000000"/>
                <w:sz w:val="20"/>
              </w:rPr>
              <w:t>Three-hour minimum; billed from yard departure through return</w:t>
            </w:r>
          </w:p>
        </w:tc>
      </w:tr>
      <w:tr>
        <w:trPr>
          <w:cantSplit/>
        </w:trPr>
        <w:tc>
          <w:tcPr>
            <w:tcW w:type="dxa" w:w="3456"/>
            <w:vAlign w:val="center"/>
            <w:shd w:fill="F5F6F3"/>
          </w:tcPr>
          <w:p>
            <w:pPr>
              <w:spacing w:after="0" w:line="259" w:lineRule="auto"/>
              <w:jc w:val="left"/>
            </w:pPr>
            <w:r>
              <w:rPr>
                <w:rFonts w:ascii="DM Sans" w:hAnsi="DM Sans" w:eastAsia="DM Sans" w:cs="DM Sans"/>
                <w:b w:val="0"/>
                <w:color w:val="000000"/>
                <w:sz w:val="20"/>
              </w:rPr>
              <w:t>Salt bin refill</w:t>
            </w:r>
          </w:p>
        </w:tc>
        <w:tc>
          <w:tcPr>
            <w:tcW w:type="dxa" w:w="2448"/>
            <w:vAlign w:val="center"/>
            <w:shd w:fill="F5F6F3"/>
          </w:tcPr>
          <w:p>
            <w:pPr>
              <w:spacing w:after="0" w:line="259" w:lineRule="auto"/>
              <w:jc w:val="left"/>
            </w:pPr>
            <w:r>
              <w:rPr>
                <w:rFonts w:ascii="DM Sans" w:hAnsi="DM Sans" w:eastAsia="DM Sans" w:cs="DM Sans"/>
                <w:b w:val="0"/>
                <w:color w:val="000000"/>
                <w:sz w:val="20"/>
              </w:rPr>
              <w:t>$145 per full refill</w:t>
            </w:r>
          </w:p>
        </w:tc>
        <w:tc>
          <w:tcPr>
            <w:tcW w:type="dxa" w:w="4320"/>
            <w:vAlign w:val="center"/>
            <w:shd w:fill="F5F6F3"/>
          </w:tcPr>
          <w:p>
            <w:pPr>
              <w:spacing w:after="0" w:line="259" w:lineRule="auto"/>
              <w:jc w:val="left"/>
            </w:pPr>
            <w:r>
              <w:rPr>
                <w:rFonts w:ascii="DM Sans" w:hAnsi="DM Sans" w:eastAsia="DM Sans" w:cs="DM Sans"/>
                <w:b w:val="0"/>
                <w:color w:val="000000"/>
                <w:sz w:val="20"/>
              </w:rPr>
              <w:t>Quarter, half and three-quarter fills billed proportionally</w:t>
            </w:r>
          </w:p>
        </w:tc>
      </w:tr>
    </w:tbl>
    <w:p>
      <w:pPr>
        <w:keepNext w:val="0"/>
        <w:spacing w:after="40" w:before="0"/>
      </w:pPr>
      <w:r>
        <w:rPr>
          <w:rFonts w:ascii="DM Sans" w:hAnsi="DM Sans" w:eastAsia="DM Sans" w:cs="DM Sans"/>
          <w:b w:val="0"/>
          <w:color w:val="000000"/>
          <w:sz w:val="4"/>
        </w:rPr>
      </w:r>
    </w:p>
    <w:p>
      <w:pPr>
        <w:keepNext w:val="0"/>
        <w:spacing w:after="200" w:before="0"/>
      </w:pPr>
      <w:r>
        <w:t>Bin refills are separate from applied salting and do not create an inspection or treatment service.</w:t>
      </w:r>
    </w:p>
    <w:p>
      <w:pPr>
        <w:pStyle w:val="Heading2"/>
      </w:pPr>
      <w:r>
        <w:t>Fuel adjustment</w:t>
      </w:r>
    </w:p>
    <w:p>
      <w:pPr>
        <w:keepNext w:val="0"/>
        <w:spacing w:after="240" w:before="0"/>
      </w:pPr>
      <w:r>
        <w:t>A monthly fuel adjustment may apply above $2.00/L for gasoline or $2.75/L for diesel. Schedule C2 determines the benchmarks, eligible earned fees and calculation, with one combined 3% cap, no compounding and at least seven days' written notice before the first adjustment invoice.</w:t>
      </w:r>
    </w:p>
    <w:p>
      <w:pPr>
        <w:pStyle w:val="Heading2"/>
      </w:pPr>
      <w:r>
        <w:t>Review your complete agreement</w:t>
      </w:r>
    </w:p>
    <w:p>
      <w:pPr>
        <w:keepNext w:val="0"/>
        <w:spacing w:after="240" w:before="0"/>
      </w:pPr>
      <w:r>
        <w:t>The separate Seasonal Snow and Ice Management Agreement contains the full service standards, selections, terms and Schedules A to D, together with the property service plan. Review it before signing.</w:t>
      </w:r>
    </w:p>
    <w:p>
      <w:pPr>
        <w:keepNext w:val="0"/>
        <w:spacing w:after="240" w:before="0"/>
      </w:pPr>
      <w:r>
        <w:rPr>
          <w:rFonts w:ascii="DM Sans" w:hAnsi="DM Sans" w:eastAsia="DM Sans" w:cs="DM Sans"/>
          <w:b/>
          <w:color w:val="000000"/>
          <w:sz w:val="22"/>
        </w:rPr>
        <w:t>Open your agreement, review the details, then sign and send it back to Jordan. We will take it from there.</w:t>
      </w:r>
    </w:p>
    <w:p>
      <w:pPr>
        <w:pStyle w:val="Heading2"/>
      </w:pPr>
      <w:r>
        <w:t>Contact Jordan</w:t>
      </w:r>
    </w:p>
    <w:p>
      <w:pPr>
        <w:keepNext w:val="0"/>
        <w:spacing w:after="200" w:before="0"/>
      </w:pPr>
      <w:r>
        <w:t>DPR Landscapes  |  289-987-4044</w:t>
        <w:br/>
        <w:t>info@dprlandscapes.com</w:t>
      </w:r>
    </w:p>
    <w:p>
      <w:pPr>
        <w:keepNext w:val="0"/>
        <w:spacing w:after="60" w:before="0"/>
      </w:pPr>
      <w:r>
        <w:rPr>
          <w:rFonts w:ascii="DM Sans" w:hAnsi="DM Sans" w:eastAsia="DM Sans" w:cs="DM Sans"/>
          <w:b w:val="0"/>
          <w:color w:val="606661"/>
          <w:sz w:val="18"/>
        </w:rPr>
        <w:t>Durham Property Renovations Incorporated o/a DPR Landscapes</w:t>
      </w:r>
    </w:p>
    <w:p>
      <w:pPr>
        <w:keepNext w:val="0"/>
        <w:spacing w:after="0" w:before="0"/>
      </w:pPr>
      <w:r>
        <w:rPr>
          <w:rFonts w:ascii="DM Sans" w:hAnsi="DM Sans" w:eastAsia="DM Sans" w:cs="DM Sans"/>
          <w:b w:val="0"/>
          <w:color w:val="606661"/>
          <w:sz w:val="18"/>
        </w:rPr>
        <w:t>Mailing: 190 Hillside Avenue, Oshawa, Ontario L1J 1S9</w:t>
      </w:r>
    </w:p>
    <w:sectPr w:rsidR="00FC693F" w:rsidRPr="0006063C" w:rsidSect="00034616">
      <w:headerReference w:type="default" r:id="rId9"/>
      <w:footerReference w:type="default" r:id="rId10"/>
      <w:footerReference w:type="first" r:id="rId11"/>
      <w:pgSz w:w="12240" w:h="15840"/>
      <w:pgMar w:top="936" w:right="1008" w:bottom="936" w:left="1008" w:header="389" w:footer="38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rFonts w:ascii="DM Sans" w:hAnsi="DM Sans" w:eastAsia="DM Sans" w:cs="DM Sans"/>
        <w:b w:val="0"/>
        <w:color w:val="606661"/>
        <w:sz w:val="17"/>
      </w:rPr>
      <w:t>DPR Landscapes  |  Winter service 2026 to 2027</w:t>
    </w:r>
    <w:r>
      <w:rPr>
        <w:rFonts w:ascii="DM Sans" w:hAnsi="DM Sans" w:eastAsia="DM Sans" w:cs="DM Sans"/>
        <w:b w:val="0"/>
        <w:color w:val="000000"/>
        <w:sz w:val="17"/>
      </w:rPr>
      <w:tab/>
    </w: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rFonts w:ascii="DM Sans" w:hAnsi="DM Sans" w:eastAsia="DM Sans" w:cs="DM Sans"/>
        <w:b w:val="0"/>
        <w:color w:val="606661"/>
        <w:sz w:val="17"/>
      </w:rPr>
      <w:t>DPR Landscapes  |  Winter service 2026 to 2027</w:t>
    </w:r>
    <w:r>
      <w:rPr>
        <w:rFonts w:ascii="DM Sans" w:hAnsi="DM Sans" w:eastAsia="DM Sans" w:cs="DM Sans"/>
        <w:b w:val="0"/>
        <w:color w:val="000000"/>
        <w:sz w:val="17"/>
      </w:rPr>
      <w:tab/>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24" w:val="right"/>
      </w:tabs>
      <w:spacing w:after="0"/>
    </w:pPr>
    <w:r>
      <w:rPr>
        <w:rFonts w:ascii="DM Sans" w:hAnsi="DM Sans" w:eastAsia="DM Sans" w:cs="DM Sans"/>
        <w:b/>
        <w:color w:val="000000"/>
        <w:sz w:val="17"/>
      </w:rPr>
      <w:t>DPR LANDSCAPES</w:t>
    </w:r>
    <w:r>
      <w:rPr>
        <w:rFonts w:ascii="DM Sans" w:hAnsi="DM Sans" w:eastAsia="DM Sans" w:cs="DM Sans"/>
        <w:b w:val="0"/>
        <w:color w:val="000000"/>
        <w:sz w:val="17"/>
      </w:rPr>
      <w:tab/>
      <w:t>10 MEADOWGLEN DRIVE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60"/>
      <w:ind w:left="0" w:right="0" w:firstLine="0"/>
    </w:pPr>
    <w:rPr>
      <w:rFonts w:ascii="DM Sans" w:hAnsi="DM Sans"/>
      <w:b w:val="0"/>
      <w:i w:val="0"/>
      <w:color w:val="000000"/>
      <w:sz w:val="22"/>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40" w:line="269" w:lineRule="auto"/>
      <w:ind w:left="0" w:right="0" w:firstLine="0"/>
      <w:outlineLvl w:val="0"/>
    </w:pPr>
    <w:rPr>
      <w:rFonts w:ascii="Manrope" w:hAnsi="Manrope"/>
      <w:b/>
      <w:bCs/>
      <w:i w:val="0"/>
      <w:color w:val="000000"/>
      <w:sz w:val="50"/>
      <w:szCs w:val="28"/>
    </w:rPr>
  </w:style>
  <w:style w:type="paragraph" w:styleId="Heading2">
    <w:name w:val="heading 2"/>
    <w:basedOn w:val="Normal"/>
    <w:next w:val="Normal"/>
    <w:link w:val="Heading2Char"/>
    <w:uiPriority w:val="9"/>
    <w:unhideWhenUsed/>
    <w:qFormat/>
    <w:rsid w:val="00FC693F"/>
    <w:pPr>
      <w:keepNext/>
      <w:keepLines/>
      <w:widowControl/>
      <w:spacing w:before="240" w:after="140" w:line="269" w:lineRule="auto"/>
      <w:ind w:left="0" w:right="0" w:firstLine="0"/>
      <w:outlineLvl w:val="1"/>
    </w:pPr>
    <w:rPr>
      <w:rFonts w:ascii="Manrope" w:hAnsi="Manrope"/>
      <w:b/>
      <w:bCs/>
      <w:i w:val="0"/>
      <w:color w:val="000000"/>
      <w:sz w:val="30"/>
      <w:szCs w:val="26"/>
    </w:rPr>
  </w:style>
  <w:style w:type="paragraph" w:styleId="Heading3">
    <w:name w:val="heading 3"/>
    <w:basedOn w:val="Normal"/>
    <w:next w:val="Normal"/>
    <w:link w:val="Heading3Char"/>
    <w:uiPriority w:val="9"/>
    <w:unhideWhenUsed/>
    <w:qFormat/>
    <w:rsid w:val="00FC693F"/>
    <w:pPr>
      <w:keepNext/>
      <w:keepLines/>
      <w:widowControl/>
      <w:spacing w:before="240" w:after="140" w:line="269" w:lineRule="auto"/>
      <w:ind w:left="0" w:right="0" w:firstLine="0"/>
      <w:outlineLvl w:val="2"/>
    </w:pPr>
    <w:rPr>
      <w:rFonts w:ascii="Manrope" w:hAnsi="Manrope"/>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80" w:line="269" w:lineRule="auto"/>
      <w:ind w:left="0" w:right="0" w:firstLine="0"/>
      <w:contextualSpacing/>
    </w:pPr>
    <w:rPr>
      <w:rFonts w:ascii="Manrope" w:hAnsi="Manrope"/>
      <w:b/>
      <w:i w:val="0"/>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69" w:lineRule="auto" w:after="240"/>
      <w:ind w:left="0" w:right="0" w:firstLine="0"/>
    </w:pPr>
    <w:rPr>
      <w:rFonts w:ascii="Manrope" w:hAnsi="Manrope"/>
      <w:b w:val="0"/>
      <w:i w:val="0"/>
      <w:iCs/>
      <w:color w:val="000000"/>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60" w:line="269" w:lineRule="auto"/>
      <w:ind w:left="0" w:right="0" w:firstLine="0"/>
    </w:pPr>
    <w:rPr>
      <w:rFonts w:ascii="DM Sans" w:hAnsi="DM Sans"/>
      <w:b w:val="0"/>
      <w:i w:val="0"/>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69" w:lineRule="auto" w:after="240"/>
      <w:ind w:left="0" w:right="0" w:firstLine="0"/>
    </w:pPr>
    <w:rPr>
      <w:rFonts w:ascii="DM Sans" w:hAnsi="DM Sans"/>
      <w:b w:val="0"/>
      <w:bCs/>
      <w:i w:val="0"/>
      <w:color w:val="60666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Winter service proposal for 10 Meadowglen Drive</dc:title>
  <dc:subject>Snow plowing and salting proposal for the 2026 to 2027 winter season</dc:subject>
  <dc:creator>DPR Landscapes</dc:creator>
  <cp:keywords>10 Meadowglen Drive, Whitby, winter service, DPR Landscapes</cp:keywords>
  <dc:description>generated by python-docx</dc:description>
  <cp:lastModifiedBy/>
  <cp:revision>1</cp:revision>
  <dcterms:created xsi:type="dcterms:W3CDTF">2013-12-23T23:15:00Z</dcterms:created>
  <dcterms:modified xsi:type="dcterms:W3CDTF">2013-12-23T23:15:00Z</dcterms:modified>
  <cp:category/>
</cp:coreProperties>
</file>